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Look w:val="04A0" w:firstRow="1" w:lastRow="0" w:firstColumn="1" w:lastColumn="0" w:noHBand="0" w:noVBand="1"/>
      </w:tblPr>
      <w:tblGrid>
        <w:gridCol w:w="9630"/>
        <w:gridCol w:w="5694"/>
      </w:tblGrid>
      <w:tr w:rsidR="0043059E" w:rsidRPr="00F52912" w:rsidTr="000C072B">
        <w:trPr>
          <w:trHeight w:val="38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01F64" w:rsidRDefault="0043059E" w:rsidP="000C072B">
            <w:pPr>
              <w:spacing w:after="0" w:line="240" w:lineRule="auto"/>
              <w:jc w:val="center"/>
              <w:rPr>
                <w:lang w:val="kk-KZ"/>
              </w:rPr>
            </w:pPr>
            <w:r w:rsidRPr="00F01F64">
              <w:rPr>
                <w:sz w:val="20"/>
                <w:lang w:val="kk-KZ"/>
              </w:rPr>
              <w:t> </w:t>
            </w:r>
          </w:p>
        </w:tc>
        <w:tc>
          <w:tcPr>
            <w:tcW w:w="5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F54FD1">
            <w:pPr>
              <w:spacing w:after="0" w:line="240" w:lineRule="auto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Приложение 2</w:t>
            </w:r>
            <w:r w:rsidRPr="00F52912">
              <w:rPr>
                <w:lang w:val="kk-KZ"/>
              </w:rPr>
              <w:br/>
            </w:r>
          </w:p>
        </w:tc>
      </w:tr>
    </w:tbl>
    <w:p w:rsidR="0043059E" w:rsidRPr="00F52912" w:rsidRDefault="0043059E" w:rsidP="0043059E">
      <w:pPr>
        <w:spacing w:after="0" w:line="240" w:lineRule="auto"/>
        <w:jc w:val="both"/>
        <w:rPr>
          <w:sz w:val="28"/>
          <w:lang w:val="kk-KZ"/>
        </w:rPr>
      </w:pPr>
    </w:p>
    <w:p w:rsidR="0043059E" w:rsidRPr="00F52912" w:rsidRDefault="0043059E" w:rsidP="0043059E">
      <w:pPr>
        <w:spacing w:after="0" w:line="240" w:lineRule="auto"/>
        <w:jc w:val="center"/>
        <w:rPr>
          <w:b/>
          <w:bCs/>
          <w:sz w:val="28"/>
          <w:lang w:val="kk-KZ"/>
        </w:rPr>
      </w:pPr>
      <w:r w:rsidRPr="00F52912">
        <w:rPr>
          <w:b/>
          <w:bCs/>
          <w:sz w:val="28"/>
          <w:lang w:val="kk-KZ"/>
        </w:rPr>
        <w:t>Список публикаций в международных рецензируемых изданиях</w:t>
      </w:r>
    </w:p>
    <w:p w:rsidR="00F54FD1" w:rsidRPr="00F52912" w:rsidRDefault="00F54FD1" w:rsidP="00F54FD1">
      <w:pPr>
        <w:numPr>
          <w:ilvl w:val="12"/>
          <w:numId w:val="0"/>
        </w:num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F52912">
        <w:rPr>
          <w:b/>
          <w:bCs/>
          <w:sz w:val="28"/>
          <w:lang w:val="kk-KZ"/>
        </w:rPr>
        <w:t>Соискателя ученого звания профессор,</w:t>
      </w:r>
      <w:r w:rsidRPr="00F52912">
        <w:rPr>
          <w:b/>
          <w:sz w:val="24"/>
          <w:szCs w:val="24"/>
          <w:lang w:val="ru-RU" w:eastAsia="ru-RU"/>
        </w:rPr>
        <w:t xml:space="preserve"> </w:t>
      </w:r>
    </w:p>
    <w:p w:rsidR="00F54FD1" w:rsidRPr="00F52912" w:rsidRDefault="00F54FD1" w:rsidP="00F54FD1">
      <w:pPr>
        <w:spacing w:after="0" w:line="240" w:lineRule="auto"/>
        <w:jc w:val="center"/>
        <w:rPr>
          <w:b/>
          <w:bCs/>
          <w:sz w:val="28"/>
          <w:lang w:val="kk-KZ"/>
        </w:rPr>
      </w:pPr>
      <w:r w:rsidRPr="00F52912">
        <w:rPr>
          <w:b/>
          <w:bCs/>
          <w:sz w:val="28"/>
          <w:lang w:val="kk-KZ"/>
        </w:rPr>
        <w:t>Чередниченко Оксаны Геннадьевны</w:t>
      </w:r>
    </w:p>
    <w:p w:rsidR="00F54FD1" w:rsidRPr="00F52912" w:rsidRDefault="00F54FD1" w:rsidP="00F54FD1">
      <w:pPr>
        <w:spacing w:after="0" w:line="240" w:lineRule="auto"/>
        <w:jc w:val="center"/>
        <w:rPr>
          <w:b/>
          <w:bCs/>
          <w:sz w:val="28"/>
          <w:lang w:val="kk-KZ"/>
        </w:rPr>
      </w:pPr>
      <w:r w:rsidRPr="00F52912">
        <w:rPr>
          <w:b/>
          <w:bCs/>
          <w:sz w:val="28"/>
          <w:lang w:val="kk-KZ"/>
        </w:rPr>
        <w:t>опубликованных после получения степени «Кандидат биологических наук»</w:t>
      </w:r>
    </w:p>
    <w:p w:rsidR="00F54FD1" w:rsidRPr="00F52912" w:rsidRDefault="00F54FD1" w:rsidP="0043059E">
      <w:pPr>
        <w:spacing w:after="0" w:line="240" w:lineRule="auto"/>
        <w:jc w:val="center"/>
        <w:rPr>
          <w:b/>
          <w:bCs/>
          <w:sz w:val="28"/>
          <w:lang w:val="ru-RU"/>
        </w:rPr>
      </w:pPr>
    </w:p>
    <w:p w:rsidR="0043059E" w:rsidRPr="00F52912" w:rsidRDefault="0043059E" w:rsidP="0043059E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F52912">
        <w:rPr>
          <w:sz w:val="28"/>
          <w:lang w:val="kk-KZ"/>
        </w:rPr>
        <w:t>Идентификаторы автора:</w:t>
      </w:r>
    </w:p>
    <w:p w:rsidR="0043059E" w:rsidRPr="00F52912" w:rsidRDefault="0043059E" w:rsidP="0043059E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F52912">
        <w:rPr>
          <w:sz w:val="28"/>
          <w:lang w:val="kk-KZ"/>
        </w:rPr>
        <w:t xml:space="preserve">Scopus Author ID: </w:t>
      </w:r>
      <w:r w:rsidR="00D00BA4" w:rsidRPr="00F52912">
        <w:rPr>
          <w:sz w:val="28"/>
          <w:lang w:val="kk-KZ"/>
        </w:rPr>
        <w:t>6602131521</w:t>
      </w:r>
    </w:p>
    <w:p w:rsidR="0043059E" w:rsidRPr="00F52912" w:rsidRDefault="0043059E" w:rsidP="0043059E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F52912">
        <w:rPr>
          <w:sz w:val="28"/>
          <w:lang w:val="kk-KZ"/>
        </w:rPr>
        <w:t xml:space="preserve">Web of Science Researcher ID: </w:t>
      </w:r>
      <w:r w:rsidR="00D00BA4" w:rsidRPr="00F52912">
        <w:rPr>
          <w:sz w:val="28"/>
          <w:lang w:val="kk-KZ"/>
        </w:rPr>
        <w:t>AAN-1911-2021</w:t>
      </w:r>
    </w:p>
    <w:p w:rsidR="00D00BA4" w:rsidRPr="00F52912" w:rsidRDefault="0043059E" w:rsidP="00D00BA4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F52912">
        <w:rPr>
          <w:sz w:val="28"/>
          <w:lang w:val="kk-KZ"/>
        </w:rPr>
        <w:t xml:space="preserve">ORCID: </w:t>
      </w:r>
      <w:r w:rsidR="00D00BA4" w:rsidRPr="00F52912">
        <w:rPr>
          <w:sz w:val="28"/>
          <w:lang w:val="kk-KZ"/>
        </w:rPr>
        <w:t>https://orcid.org/0000-0001-5681-639X</w:t>
      </w:r>
    </w:p>
    <w:p w:rsidR="0043059E" w:rsidRPr="00F52912" w:rsidRDefault="0043059E" w:rsidP="00D00BA4">
      <w:pPr>
        <w:spacing w:after="0" w:line="240" w:lineRule="auto"/>
        <w:ind w:firstLine="567"/>
        <w:jc w:val="both"/>
        <w:rPr>
          <w:sz w:val="28"/>
          <w:lang w:val="kk-KZ"/>
        </w:rPr>
      </w:pPr>
    </w:p>
    <w:tbl>
      <w:tblPr>
        <w:tblW w:w="150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988"/>
        <w:gridCol w:w="1119"/>
        <w:gridCol w:w="2590"/>
        <w:gridCol w:w="1559"/>
        <w:gridCol w:w="1134"/>
        <w:gridCol w:w="1437"/>
        <w:gridCol w:w="2255"/>
        <w:gridCol w:w="1533"/>
      </w:tblGrid>
      <w:tr w:rsidR="0043059E" w:rsidRPr="00314981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№ п/п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Название публикации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Тип публикации (статья, обзор и т.д.)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F52912">
              <w:rPr>
                <w:sz w:val="2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59E" w:rsidRPr="00F52912" w:rsidRDefault="0043059E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7D79C5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>1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F156F2">
            <w:pPr>
              <w:spacing w:after="0" w:line="240" w:lineRule="auto"/>
              <w:ind w:left="20"/>
              <w:rPr>
                <w:sz w:val="20"/>
              </w:rPr>
            </w:pPr>
            <w:r w:rsidRPr="00F52912">
              <w:rPr>
                <w:sz w:val="20"/>
              </w:rPr>
              <w:t xml:space="preserve">The effects of DNA repair polymorphisms on chromosome aberrations in the population of Kazakhstan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</w:rPr>
              <w:t>International journal of radiation biology 2020 (96) Vol.5, P.614-621    https://doi.org/10.1080/09553002.2020.1711460.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9C5" w:rsidRPr="00F52912" w:rsidRDefault="007D79C5" w:rsidP="007D79C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52912">
              <w:rPr>
                <w:sz w:val="20"/>
                <w:szCs w:val="20"/>
              </w:rPr>
              <w:t>IF 2.1, Q2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9C5" w:rsidRPr="00F52912" w:rsidRDefault="007D79C5" w:rsidP="007D79C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52912">
              <w:rPr>
                <w:caps/>
                <w:color w:val="323232"/>
                <w:sz w:val="20"/>
                <w:szCs w:val="20"/>
              </w:rPr>
              <w:t xml:space="preserve">H-INDEX= </w:t>
            </w:r>
            <w:r w:rsidRPr="00F52912">
              <w:rPr>
                <w:color w:val="000000" w:themeColor="text1"/>
                <w:sz w:val="20"/>
                <w:szCs w:val="20"/>
                <w:lang w:val="ru-RU"/>
              </w:rPr>
              <w:t>102</w:t>
            </w:r>
            <w:r w:rsidRPr="00F52912">
              <w:rPr>
                <w:color w:val="000000" w:themeColor="text1"/>
                <w:sz w:val="20"/>
                <w:szCs w:val="20"/>
              </w:rPr>
              <w:t>, Q2,</w:t>
            </w:r>
          </w:p>
          <w:p w:rsidR="007D79C5" w:rsidRPr="00F52912" w:rsidRDefault="007D79C5" w:rsidP="007D79C5">
            <w:pPr>
              <w:spacing w:after="0" w:line="240" w:lineRule="auto"/>
              <w:rPr>
                <w:color w:val="333333"/>
                <w:sz w:val="20"/>
                <w:szCs w:val="20"/>
                <w:lang w:val="ru-RU"/>
              </w:rPr>
            </w:pPr>
            <w:r w:rsidRPr="00F52912">
              <w:rPr>
                <w:sz w:val="20"/>
                <w:szCs w:val="20"/>
              </w:rPr>
              <w:t>SJR 0,6</w:t>
            </w:r>
            <w:r w:rsidRPr="00F52912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79C5" w:rsidRPr="00F52912" w:rsidRDefault="007D79C5" w:rsidP="007D79C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>Cite Score 4.2</w:t>
            </w:r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="006359E4" w:rsidRPr="00F52912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</w:t>
            </w:r>
            <w:proofErr w:type="spellStart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>ercentile</w:t>
            </w:r>
            <w:proofErr w:type="spellEnd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52912">
              <w:rPr>
                <w:rFonts w:eastAsiaTheme="majorEastAsia"/>
                <w:sz w:val="20"/>
                <w:szCs w:val="20"/>
              </w:rPr>
              <w:t>73%</w:t>
            </w:r>
          </w:p>
          <w:p w:rsidR="007D79C5" w:rsidRPr="00F52912" w:rsidRDefault="007D79C5" w:rsidP="007D79C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 xml:space="preserve">Q2 Biology Medicine - Radiology, Nuclear Medicine and Imaging 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F156F2">
            <w:pPr>
              <w:spacing w:after="0" w:line="240" w:lineRule="auto"/>
              <w:ind w:left="23"/>
              <w:rPr>
                <w:sz w:val="20"/>
              </w:rPr>
            </w:pPr>
            <w:proofErr w:type="spellStart"/>
            <w:r w:rsidRPr="00F52912">
              <w:rPr>
                <w:sz w:val="20"/>
              </w:rPr>
              <w:t>Djansugurova</w:t>
            </w:r>
            <w:proofErr w:type="spellEnd"/>
            <w:r w:rsidRPr="00F52912">
              <w:rPr>
                <w:sz w:val="20"/>
              </w:rPr>
              <w:t xml:space="preserve">, L., </w:t>
            </w:r>
          </w:p>
          <w:p w:rsidR="007D79C5" w:rsidRPr="00F52912" w:rsidRDefault="007D79C5" w:rsidP="00F156F2">
            <w:pPr>
              <w:spacing w:after="0" w:line="240" w:lineRule="auto"/>
              <w:ind w:left="23"/>
              <w:rPr>
                <w:sz w:val="20"/>
              </w:rPr>
            </w:pPr>
            <w:proofErr w:type="spellStart"/>
            <w:r w:rsidRPr="00F52912">
              <w:rPr>
                <w:sz w:val="20"/>
              </w:rPr>
              <w:t>Altynova</w:t>
            </w:r>
            <w:proofErr w:type="spellEnd"/>
            <w:r w:rsidRPr="00F52912">
              <w:rPr>
                <w:sz w:val="20"/>
              </w:rPr>
              <w:t xml:space="preserve">, N., </w:t>
            </w:r>
          </w:p>
          <w:p w:rsidR="007D79C5" w:rsidRPr="00F52912" w:rsidRDefault="007D79C5" w:rsidP="00F156F2">
            <w:pPr>
              <w:spacing w:after="0" w:line="240" w:lineRule="auto"/>
              <w:ind w:left="23"/>
              <w:rPr>
                <w:b/>
                <w:sz w:val="20"/>
                <w:u w:val="single"/>
              </w:rPr>
            </w:pPr>
            <w:proofErr w:type="spellStart"/>
            <w:r w:rsidRPr="00F52912">
              <w:rPr>
                <w:b/>
                <w:sz w:val="20"/>
                <w:u w:val="single"/>
              </w:rPr>
              <w:t>Cherednichenko</w:t>
            </w:r>
            <w:proofErr w:type="spellEnd"/>
            <w:r w:rsidRPr="00F52912">
              <w:rPr>
                <w:b/>
                <w:sz w:val="20"/>
                <w:u w:val="single"/>
              </w:rPr>
              <w:t xml:space="preserve">, O., </w:t>
            </w:r>
          </w:p>
          <w:p w:rsidR="007D79C5" w:rsidRPr="00F52912" w:rsidRDefault="007D79C5" w:rsidP="00F156F2">
            <w:pPr>
              <w:spacing w:after="0" w:line="240" w:lineRule="auto"/>
              <w:ind w:left="23"/>
              <w:rPr>
                <w:sz w:val="20"/>
              </w:rPr>
            </w:pPr>
            <w:proofErr w:type="spellStart"/>
            <w:r w:rsidRPr="00F52912">
              <w:rPr>
                <w:sz w:val="20"/>
              </w:rPr>
              <w:t>Khussainova</w:t>
            </w:r>
            <w:proofErr w:type="spellEnd"/>
            <w:r w:rsidRPr="00F52912">
              <w:rPr>
                <w:sz w:val="20"/>
              </w:rPr>
              <w:t xml:space="preserve">, E., </w:t>
            </w:r>
          </w:p>
          <w:p w:rsidR="007D79C5" w:rsidRPr="00F52912" w:rsidRDefault="007D79C5" w:rsidP="00F156F2">
            <w:pPr>
              <w:spacing w:after="0" w:line="240" w:lineRule="auto"/>
              <w:ind w:left="23"/>
              <w:rPr>
                <w:sz w:val="20"/>
                <w:lang w:val="kk-KZ"/>
              </w:rPr>
            </w:pPr>
            <w:proofErr w:type="spellStart"/>
            <w:r w:rsidRPr="00F52912">
              <w:rPr>
                <w:sz w:val="20"/>
              </w:rPr>
              <w:t>Dubrova</w:t>
            </w:r>
            <w:proofErr w:type="spellEnd"/>
            <w:r w:rsidRPr="00F52912">
              <w:rPr>
                <w:sz w:val="20"/>
              </w:rPr>
              <w:t>, Y.E.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9C5" w:rsidRPr="00F52912" w:rsidRDefault="007D79C5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bookmarkStart w:id="0" w:name="_GoBack"/>
            <w:bookmarkEnd w:id="0"/>
            <w:r w:rsidRPr="00F52912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F156F2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>2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Ecological risk assessment and long-term environmental pollution caused by obsolete undisposed organochlorine pesticides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6F2" w:rsidRPr="00F52912" w:rsidRDefault="00F156F2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2912">
              <w:rPr>
                <w:sz w:val="20"/>
                <w:szCs w:val="20"/>
                <w:shd w:val="clear" w:color="auto" w:fill="FFFFFF"/>
                <w:lang w:val="kk-KZ"/>
              </w:rPr>
              <w:t>Journal of Environmental Science and Health - Part B</w:t>
            </w:r>
            <w:r w:rsidRPr="00F52912">
              <w:rPr>
                <w:sz w:val="20"/>
                <w:szCs w:val="20"/>
                <w:shd w:val="clear" w:color="auto" w:fill="FFFFFF"/>
              </w:rPr>
              <w:t>,</w:t>
            </w:r>
            <w:r w:rsidRPr="00F52912">
              <w:rPr>
                <w:sz w:val="20"/>
                <w:szCs w:val="20"/>
                <w:shd w:val="clear" w:color="auto" w:fill="FFFFFF"/>
                <w:lang w:val="kk-KZ"/>
              </w:rPr>
              <w:t xml:space="preserve"> Pesticides, Food Contaminants, and Agricultural Wastes</w:t>
            </w:r>
            <w:r w:rsidRPr="00F52912">
              <w:rPr>
                <w:sz w:val="20"/>
                <w:szCs w:val="20"/>
                <w:shd w:val="clear" w:color="auto" w:fill="FFFFFF"/>
              </w:rPr>
              <w:t xml:space="preserve">. 2021. </w:t>
            </w:r>
            <w:proofErr w:type="gramStart"/>
            <w:r w:rsidRPr="00F52912">
              <w:rPr>
                <w:sz w:val="20"/>
                <w:szCs w:val="20"/>
                <w:shd w:val="clear" w:color="auto" w:fill="FFFFFF"/>
              </w:rPr>
              <w:t>Vol.</w:t>
            </w:r>
            <w:r w:rsidRPr="00F52912">
              <w:rPr>
                <w:sz w:val="20"/>
                <w:szCs w:val="20"/>
                <w:shd w:val="clear" w:color="auto" w:fill="FFFFFF"/>
                <w:lang w:val="kk-KZ"/>
              </w:rPr>
              <w:t>56</w:t>
            </w:r>
            <w:r w:rsidRPr="00F52912">
              <w:rPr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F52912">
              <w:rPr>
                <w:sz w:val="20"/>
                <w:szCs w:val="20"/>
                <w:shd w:val="clear" w:color="auto" w:fill="FFFFFF"/>
              </w:rPr>
              <w:t>5). P.</w:t>
            </w:r>
            <w:r w:rsidRPr="00F52912">
              <w:rPr>
                <w:sz w:val="20"/>
                <w:szCs w:val="20"/>
                <w:shd w:val="clear" w:color="auto" w:fill="FFFFFF"/>
                <w:lang w:val="kk-KZ"/>
              </w:rPr>
              <w:t>490-502</w:t>
            </w:r>
            <w:r w:rsidRPr="00F5291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156F2" w:rsidRPr="00F52912" w:rsidRDefault="00F156F2" w:rsidP="000C072B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2912">
              <w:rPr>
                <w:sz w:val="20"/>
                <w:szCs w:val="20"/>
                <w:shd w:val="clear" w:color="auto" w:fill="FFFFFF"/>
                <w:lang w:val="kk-KZ"/>
              </w:rPr>
              <w:t>10.1080/03601234.2021.1913931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3A5B84" w:rsidP="003A5B84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  <w:szCs w:val="20"/>
              </w:rPr>
              <w:t>IF</w:t>
            </w:r>
            <w:r w:rsidRPr="00F52912">
              <w:rPr>
                <w:sz w:val="20"/>
              </w:rPr>
              <w:t xml:space="preserve"> </w:t>
            </w:r>
            <w:r w:rsidR="006359E4" w:rsidRPr="00F52912">
              <w:rPr>
                <w:sz w:val="20"/>
              </w:rPr>
              <w:t>2.</w:t>
            </w:r>
            <w:r w:rsidR="006359E4" w:rsidRPr="00F52912">
              <w:rPr>
                <w:sz w:val="20"/>
                <w:lang w:val="ru-RU"/>
              </w:rPr>
              <w:t>00</w:t>
            </w:r>
            <w:r w:rsidRPr="00F52912">
              <w:rPr>
                <w:sz w:val="20"/>
                <w:lang w:val="ru-RU"/>
              </w:rPr>
              <w:t xml:space="preserve">, </w:t>
            </w:r>
            <w:r w:rsidR="00F156F2" w:rsidRPr="00F52912">
              <w:rPr>
                <w:sz w:val="20"/>
              </w:rPr>
              <w:t>Q3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9E4" w:rsidRPr="00F52912" w:rsidRDefault="006359E4" w:rsidP="006359E4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65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3</w:t>
            </w:r>
            <w:r w:rsidRPr="00F52912">
              <w:rPr>
                <w:sz w:val="20"/>
              </w:rPr>
              <w:t>,</w:t>
            </w:r>
          </w:p>
          <w:p w:rsidR="00F156F2" w:rsidRPr="00F52912" w:rsidRDefault="006359E4" w:rsidP="006359E4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39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9E4" w:rsidRPr="00F52912" w:rsidRDefault="006359E4" w:rsidP="006359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>Cite Score 4.2</w:t>
            </w:r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</w:t>
            </w:r>
            <w:proofErr w:type="spellStart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>ercentile</w:t>
            </w:r>
            <w:proofErr w:type="spellEnd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52912">
              <w:rPr>
                <w:rFonts w:eastAsiaTheme="majorEastAsia"/>
                <w:sz w:val="20"/>
                <w:szCs w:val="20"/>
              </w:rPr>
              <w:t>73%</w:t>
            </w:r>
          </w:p>
          <w:p w:rsidR="006359E4" w:rsidRPr="00F52912" w:rsidRDefault="006359E4" w:rsidP="006359E4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>Q2 Biology</w:t>
            </w:r>
            <w:r w:rsidRPr="00F52912">
              <w:t xml:space="preserve"> </w:t>
            </w:r>
            <w:r w:rsidRPr="00F52912">
              <w:rPr>
                <w:color w:val="000000" w:themeColor="text1"/>
                <w:sz w:val="20"/>
                <w:szCs w:val="20"/>
              </w:rPr>
              <w:t>Environmental Science</w:t>
            </w:r>
          </w:p>
          <w:p w:rsidR="00F156F2" w:rsidRPr="00F52912" w:rsidRDefault="006359E4" w:rsidP="006359E4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 xml:space="preserve">Pollution </w:t>
            </w:r>
            <w:r w:rsidRPr="00F52912">
              <w:rPr>
                <w:sz w:val="20"/>
              </w:rPr>
              <w:t>3.7</w:t>
            </w:r>
            <w:r w:rsidR="00A13283" w:rsidRPr="00F52912">
              <w:rPr>
                <w:sz w:val="20"/>
              </w:rPr>
              <w:t>(</w:t>
            </w:r>
            <w:r w:rsidR="00F156F2" w:rsidRPr="00F52912">
              <w:rPr>
                <w:sz w:val="20"/>
              </w:rPr>
              <w:t>59</w:t>
            </w:r>
            <w:r w:rsidR="00A13283" w:rsidRPr="00F52912">
              <w:rPr>
                <w:sz w:val="20"/>
              </w:rPr>
              <w:t>%)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 xml:space="preserve">Mit N., </w:t>
            </w:r>
            <w:r w:rsidRPr="00F52912">
              <w:rPr>
                <w:b/>
                <w:sz w:val="20"/>
                <w:szCs w:val="20"/>
                <w:u w:val="single"/>
                <w:lang w:val="kk-KZ"/>
              </w:rPr>
              <w:t>Cherednichenko O.,</w:t>
            </w:r>
            <w:r w:rsidRPr="00F52912">
              <w:rPr>
                <w:sz w:val="20"/>
                <w:szCs w:val="20"/>
                <w:lang w:val="kk-KZ"/>
              </w:rPr>
              <w:t xml:space="preserve"> Mussayeva A., Khamdiyeva O., Amirgalieva A., Begmanova M., Tolebaeva A., Koishekenova G., Zaypanova S., Pilyugina A., Amandykova M., </w:t>
            </w:r>
            <w:r w:rsidRPr="00F52912">
              <w:rPr>
                <w:sz w:val="20"/>
                <w:szCs w:val="20"/>
                <w:lang w:val="kk-KZ"/>
              </w:rPr>
              <w:lastRenderedPageBreak/>
              <w:t>Tlenshieva A., Nurzhanova A., Mamirova A.,</w:t>
            </w:r>
          </w:p>
          <w:p w:rsidR="00F156F2" w:rsidRPr="00F52912" w:rsidRDefault="00F156F2" w:rsidP="000C072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F52912">
              <w:rPr>
                <w:sz w:val="20"/>
                <w:szCs w:val="20"/>
              </w:rPr>
              <w:t>Bekmanov</w:t>
            </w:r>
            <w:proofErr w:type="spellEnd"/>
            <w:r w:rsidRPr="00F52912">
              <w:rPr>
                <w:sz w:val="20"/>
                <w:szCs w:val="20"/>
              </w:rPr>
              <w:t xml:space="preserve"> B.O.,</w:t>
            </w:r>
            <w:r w:rsidRPr="00F52912">
              <w:rPr>
                <w:sz w:val="20"/>
                <w:szCs w:val="20"/>
                <w:lang w:val="kk-KZ"/>
              </w:rPr>
              <w:t xml:space="preserve"> Djansugurova L.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ru-RU"/>
              </w:rPr>
              <w:lastRenderedPageBreak/>
              <w:t>соавтор</w:t>
            </w:r>
          </w:p>
        </w:tc>
      </w:tr>
      <w:tr w:rsidR="00F156F2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lastRenderedPageBreak/>
              <w:t>3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A13283">
            <w:pPr>
              <w:spacing w:after="0" w:line="240" w:lineRule="auto"/>
              <w:ind w:left="20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 xml:space="preserve">Chronic human exposure to ionizing radiation: Individual variability of chromosomal aberration frequencies and G0 radiosensitivities.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6F2" w:rsidRPr="00F52912" w:rsidRDefault="00F156F2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A1328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Mutation Research/Genetic Toxicology and Environmental Mutagenesis 2022-01 DOI: 10.1016/j.mrgentox.2021.503434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3A5B84" w:rsidP="00521AFD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F52912">
              <w:rPr>
                <w:sz w:val="20"/>
                <w:szCs w:val="20"/>
              </w:rPr>
              <w:t>IF</w:t>
            </w:r>
            <w:r w:rsidRPr="00F52912">
              <w:rPr>
                <w:sz w:val="20"/>
              </w:rPr>
              <w:t xml:space="preserve"> </w:t>
            </w:r>
            <w:r w:rsidR="00AB3EB7" w:rsidRPr="00F52912">
              <w:rPr>
                <w:sz w:val="20"/>
              </w:rPr>
              <w:t>2</w:t>
            </w:r>
            <w:r w:rsidR="00521AFD" w:rsidRPr="00F52912">
              <w:rPr>
                <w:sz w:val="20"/>
                <w:lang w:val="ru-RU"/>
              </w:rPr>
              <w:t>.</w:t>
            </w:r>
            <w:r w:rsidR="00AB3EB7" w:rsidRPr="00F52912">
              <w:rPr>
                <w:sz w:val="20"/>
              </w:rPr>
              <w:t>3</w:t>
            </w:r>
            <w:r w:rsidR="00521AFD" w:rsidRPr="00F52912">
              <w:rPr>
                <w:sz w:val="20"/>
              </w:rPr>
              <w:t>, Q2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9E4" w:rsidRPr="00F52912" w:rsidRDefault="006359E4" w:rsidP="006359E4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129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2</w:t>
            </w:r>
            <w:r w:rsidRPr="00F52912">
              <w:rPr>
                <w:sz w:val="20"/>
              </w:rPr>
              <w:t>,</w:t>
            </w:r>
          </w:p>
          <w:p w:rsidR="00F156F2" w:rsidRPr="00F52912" w:rsidRDefault="006359E4" w:rsidP="006359E4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668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214" w:rsidRPr="00F52912" w:rsidRDefault="00BA2214" w:rsidP="00BA221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 xml:space="preserve">Cite Score </w:t>
            </w:r>
            <w:r w:rsidRPr="00F52912">
              <w:rPr>
                <w:sz w:val="20"/>
              </w:rPr>
              <w:t>5,3</w:t>
            </w:r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Р</w:t>
            </w:r>
            <w:proofErr w:type="spellStart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>ercentile</w:t>
            </w:r>
            <w:proofErr w:type="spellEnd"/>
            <w:r w:rsidRPr="00F5291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52912">
              <w:rPr>
                <w:rFonts w:eastAsiaTheme="majorEastAsia"/>
                <w:sz w:val="20"/>
                <w:szCs w:val="20"/>
              </w:rPr>
              <w:t>62%</w:t>
            </w:r>
          </w:p>
          <w:p w:rsidR="00F156F2" w:rsidRPr="00F52912" w:rsidRDefault="00BA2214" w:rsidP="00BA2214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color w:val="000000" w:themeColor="text1"/>
                <w:sz w:val="20"/>
                <w:szCs w:val="20"/>
              </w:rPr>
              <w:t>Q2</w:t>
            </w:r>
            <w:r w:rsidR="00BB1EB5" w:rsidRPr="00F52912">
              <w:rPr>
                <w:color w:val="000000" w:themeColor="text1"/>
                <w:sz w:val="20"/>
                <w:szCs w:val="20"/>
              </w:rPr>
              <w:t>.</w:t>
            </w:r>
            <w:r w:rsidRPr="00F5291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B1EB5" w:rsidRPr="00F52912">
              <w:rPr>
                <w:color w:val="000000" w:themeColor="text1"/>
                <w:sz w:val="20"/>
                <w:szCs w:val="20"/>
              </w:rPr>
              <w:t xml:space="preserve">Biology </w:t>
            </w:r>
            <w:r w:rsidRPr="00F52912">
              <w:rPr>
                <w:color w:val="000000" w:themeColor="text1"/>
                <w:sz w:val="20"/>
                <w:szCs w:val="20"/>
              </w:rPr>
              <w:t>Environmental Science: Health, Toxicology and Mutagenesis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AB3EB7" w:rsidP="00F156F2">
            <w:pPr>
              <w:spacing w:after="0" w:line="240" w:lineRule="auto"/>
              <w:ind w:left="20"/>
              <w:jc w:val="both"/>
              <w:rPr>
                <w:sz w:val="20"/>
                <w:lang w:val="kk-KZ"/>
              </w:rPr>
            </w:pPr>
            <w:r w:rsidRPr="00F52912">
              <w:rPr>
                <w:b/>
                <w:sz w:val="20"/>
                <w:szCs w:val="20"/>
                <w:u w:val="single"/>
                <w:lang w:val="kk-KZ"/>
              </w:rPr>
              <w:t>Oksana Cherednichenko</w:t>
            </w:r>
            <w:r w:rsidRPr="00F52912">
              <w:rPr>
                <w:sz w:val="20"/>
                <w:szCs w:val="20"/>
                <w:lang w:val="kk-KZ"/>
              </w:rPr>
              <w:t xml:space="preserve">, </w:t>
            </w:r>
            <w:r w:rsidR="00F156F2" w:rsidRPr="00F52912">
              <w:rPr>
                <w:sz w:val="20"/>
                <w:lang w:val="kk-KZ"/>
              </w:rPr>
              <w:t>Anastassiya Pilyugina, Serikbai Nuraliev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6F2" w:rsidRPr="00F52912" w:rsidRDefault="00F156F2" w:rsidP="00F156F2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 xml:space="preserve">первый автор, </w:t>
            </w:r>
            <w:r w:rsidR="003A4D74" w:rsidRPr="00F52912">
              <w:rPr>
                <w:sz w:val="18"/>
                <w:szCs w:val="20"/>
                <w:lang w:val="kk-KZ"/>
              </w:rPr>
              <w:t xml:space="preserve">автор </w:t>
            </w:r>
            <w:r w:rsidR="003A4D74" w:rsidRPr="00F52912">
              <w:rPr>
                <w:sz w:val="18"/>
                <w:szCs w:val="20"/>
              </w:rPr>
              <w:t>-</w:t>
            </w:r>
            <w:r w:rsidR="003A4D74" w:rsidRPr="00F52912">
              <w:rPr>
                <w:sz w:val="18"/>
                <w:szCs w:val="20"/>
                <w:lang w:val="kk-KZ"/>
              </w:rPr>
              <w:t xml:space="preserve"> корреспонден</w:t>
            </w:r>
            <w:r w:rsidR="003A4D74" w:rsidRPr="00F52912">
              <w:rPr>
                <w:sz w:val="18"/>
                <w:szCs w:val="20"/>
                <w:lang w:val="ru-RU"/>
              </w:rPr>
              <w:t>т</w:t>
            </w:r>
          </w:p>
        </w:tc>
      </w:tr>
      <w:tr w:rsidR="00444803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912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52912">
              <w:rPr>
                <w:rFonts w:eastAsia="Calibri"/>
                <w:sz w:val="20"/>
                <w:szCs w:val="20"/>
              </w:rPr>
              <w:t xml:space="preserve">Persons chronically exposed to low doses of ionizing radiation: a cytogenetic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dosimetry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study.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F52912">
              <w:rPr>
                <w:rFonts w:eastAsia="Calibri"/>
                <w:sz w:val="20"/>
                <w:szCs w:val="20"/>
              </w:rPr>
              <w:t>Mutation Research/Genetic Toxicology and Environmental Mutagenesis Volume 894, January 2024, 503728 https://doi.org/10.1016/j.mrgentox.2024.503728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912">
              <w:rPr>
                <w:sz w:val="20"/>
                <w:szCs w:val="20"/>
              </w:rPr>
              <w:t>IF 2</w:t>
            </w:r>
            <w:r w:rsidRPr="00F52912">
              <w:rPr>
                <w:sz w:val="20"/>
                <w:szCs w:val="20"/>
                <w:lang w:val="ru-RU"/>
              </w:rPr>
              <w:t>.</w:t>
            </w:r>
            <w:r w:rsidRPr="00F52912">
              <w:rPr>
                <w:sz w:val="20"/>
                <w:szCs w:val="20"/>
              </w:rPr>
              <w:t>3, Q2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129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2</w:t>
            </w:r>
            <w:r w:rsidRPr="00F52912">
              <w:rPr>
                <w:sz w:val="20"/>
              </w:rPr>
              <w:t>,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668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Cite Score 3.8; Рercentile 48%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Q2. Biology Environmental Science: Health, Toxicology and Mutagenesis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  <w:lang w:val="kk-KZ"/>
              </w:rPr>
            </w:pPr>
            <w:r w:rsidRPr="00F52912">
              <w:rPr>
                <w:rFonts w:eastAsia="Calibri"/>
                <w:b/>
                <w:sz w:val="20"/>
                <w:szCs w:val="20"/>
                <w:u w:val="single"/>
                <w:lang w:val="kk-KZ"/>
              </w:rPr>
              <w:t>Oksana Cherednichenko</w:t>
            </w:r>
            <w:r w:rsidRPr="00F52912">
              <w:rPr>
                <w:rFonts w:eastAsia="Calibri"/>
                <w:sz w:val="20"/>
                <w:szCs w:val="20"/>
                <w:lang w:val="kk-KZ"/>
              </w:rPr>
              <w:t xml:space="preserve">, Anastassiya Pilyugina, Serikbai Nuraliev Dinara Azizbekova </w:t>
            </w:r>
          </w:p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>первый автор, автор - корреспондент</w:t>
            </w:r>
          </w:p>
        </w:tc>
      </w:tr>
      <w:tr w:rsidR="00444803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>5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52912">
              <w:rPr>
                <w:rFonts w:eastAsia="Calibri"/>
                <w:sz w:val="20"/>
                <w:szCs w:val="20"/>
                <w:lang w:val="kk-KZ"/>
              </w:rPr>
              <w:t>Tren</w:t>
            </w:r>
            <w:r w:rsidRPr="00F52912">
              <w:rPr>
                <w:rFonts w:eastAsia="Calibri"/>
                <w:sz w:val="20"/>
                <w:szCs w:val="20"/>
              </w:rPr>
              <w:t xml:space="preserve">ds in the cytogenetic and immunologic status of healthy persons; Kazakhstan, 2007-2022,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52912">
              <w:rPr>
                <w:rFonts w:eastAsia="Calibri"/>
                <w:sz w:val="20"/>
                <w:szCs w:val="20"/>
              </w:rPr>
              <w:t xml:space="preserve">Mutation Research - Genetic Toxicology and Environmental Mutagenesis, 2024, 503822, ISSN 1383-5718, https://doi.org/10.1016/j.mrgentox.2024.503822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912">
              <w:rPr>
                <w:sz w:val="20"/>
                <w:szCs w:val="20"/>
              </w:rPr>
              <w:t>IF 2</w:t>
            </w:r>
            <w:r w:rsidRPr="00F52912">
              <w:rPr>
                <w:sz w:val="20"/>
                <w:szCs w:val="20"/>
                <w:lang w:val="ru-RU"/>
              </w:rPr>
              <w:t>.</w:t>
            </w:r>
            <w:r w:rsidRPr="00F52912">
              <w:rPr>
                <w:sz w:val="20"/>
                <w:szCs w:val="20"/>
              </w:rPr>
              <w:t>3, Q2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129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2</w:t>
            </w:r>
            <w:r w:rsidRPr="00F52912">
              <w:rPr>
                <w:sz w:val="20"/>
              </w:rPr>
              <w:t>,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668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Cite Score 3.8; </w:t>
            </w:r>
            <w:proofErr w:type="spellStart"/>
            <w:r w:rsidRPr="00F52912">
              <w:rPr>
                <w:sz w:val="20"/>
              </w:rPr>
              <w:t>Рercentile</w:t>
            </w:r>
            <w:proofErr w:type="spellEnd"/>
            <w:r w:rsidRPr="00F52912">
              <w:rPr>
                <w:sz w:val="20"/>
              </w:rPr>
              <w:t xml:space="preserve"> 48%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>Q2. Biology Environmental Science: Health, Toxicology and Mutagenesis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  <w:u w:val="single"/>
              </w:rPr>
            </w:pPr>
            <w:r w:rsidRPr="00F52912">
              <w:rPr>
                <w:rFonts w:eastAsia="Calibri"/>
                <w:b/>
                <w:sz w:val="20"/>
                <w:szCs w:val="20"/>
                <w:u w:val="single"/>
              </w:rPr>
              <w:t xml:space="preserve">Oksana </w:t>
            </w:r>
            <w:proofErr w:type="spellStart"/>
            <w:r w:rsidRPr="00F52912">
              <w:rPr>
                <w:rFonts w:eastAsia="Calibri"/>
                <w:b/>
                <w:sz w:val="20"/>
                <w:szCs w:val="20"/>
                <w:u w:val="single"/>
              </w:rPr>
              <w:t>Cherednichenko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Georgij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Demchenko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Unzira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Kapysheva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Sholpan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Bakhtiyarova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Anastasiya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Pilyugina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Dinara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Azizbekova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Ulbosin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Kozhaniyazova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Bolatbek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Zhaksymov</w:t>
            </w:r>
            <w:proofErr w:type="spellEnd"/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 xml:space="preserve">первый автор, автор </w:t>
            </w:r>
            <w:r w:rsidRPr="00F52912">
              <w:rPr>
                <w:sz w:val="18"/>
                <w:szCs w:val="20"/>
              </w:rPr>
              <w:t>-</w:t>
            </w:r>
            <w:r w:rsidRPr="00F52912">
              <w:rPr>
                <w:sz w:val="18"/>
                <w:szCs w:val="20"/>
                <w:lang w:val="kk-KZ"/>
              </w:rPr>
              <w:t xml:space="preserve"> корреспонден</w:t>
            </w:r>
            <w:r w:rsidRPr="00F52912">
              <w:rPr>
                <w:sz w:val="18"/>
                <w:szCs w:val="20"/>
                <w:lang w:val="ru-RU"/>
              </w:rPr>
              <w:t>т</w:t>
            </w:r>
          </w:p>
        </w:tc>
      </w:tr>
      <w:tr w:rsidR="00444803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F52912">
              <w:rPr>
                <w:rFonts w:eastAsia="Calibri"/>
                <w:sz w:val="20"/>
                <w:szCs w:val="20"/>
              </w:rPr>
              <w:t>Cytome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analysis (micronuclei and nuclear anomalies) in </w:t>
            </w:r>
            <w:proofErr w:type="spellStart"/>
            <w:r w:rsidRPr="00F52912">
              <w:rPr>
                <w:rFonts w:eastAsia="Calibri"/>
                <w:sz w:val="20"/>
                <w:szCs w:val="20"/>
              </w:rPr>
              <w:t>bioindication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 of environmental pollution in animals with nuclear erythrocytes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52912">
              <w:rPr>
                <w:rFonts w:eastAsia="Calibri"/>
                <w:sz w:val="20"/>
                <w:szCs w:val="20"/>
              </w:rPr>
              <w:t>Heliyon</w:t>
            </w:r>
            <w:proofErr w:type="spellEnd"/>
            <w:r w:rsidRPr="00F52912">
              <w:rPr>
                <w:rFonts w:eastAsia="Calibri"/>
                <w:sz w:val="20"/>
                <w:szCs w:val="20"/>
              </w:rPr>
              <w:t xml:space="preserve">, Volume 10, Issue 18, 2024, e37643, https://doi.org/10.1016/j.heliyon.2024.e37643 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52912">
              <w:rPr>
                <w:sz w:val="20"/>
                <w:szCs w:val="20"/>
              </w:rPr>
              <w:t>IF</w:t>
            </w:r>
            <w:r w:rsidRPr="00F52912">
              <w:rPr>
                <w:rFonts w:eastAsia="Calibri"/>
                <w:sz w:val="20"/>
                <w:szCs w:val="20"/>
                <w:lang w:val="ru-RU"/>
              </w:rPr>
              <w:t xml:space="preserve"> 3.4</w:t>
            </w:r>
            <w:r w:rsidRPr="00F52912">
              <w:rPr>
                <w:sz w:val="20"/>
                <w:szCs w:val="20"/>
              </w:rPr>
              <w:t>, Q</w:t>
            </w:r>
            <w:r w:rsidRPr="00F5291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115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1</w:t>
            </w:r>
            <w:r w:rsidRPr="00F52912">
              <w:rPr>
                <w:sz w:val="20"/>
              </w:rPr>
              <w:t>,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644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Cite Score 4.5; Рercentile 80%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Q1. Biology Multidisciplinary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  <w:u w:val="single"/>
                <w:lang w:val="kk-KZ"/>
              </w:rPr>
            </w:pPr>
            <w:r w:rsidRPr="00F52912">
              <w:rPr>
                <w:rFonts w:eastAsia="Calibri"/>
                <w:b/>
                <w:sz w:val="20"/>
                <w:szCs w:val="20"/>
                <w:u w:val="single"/>
                <w:lang w:val="kk-KZ"/>
              </w:rPr>
              <w:t>Oksana Cherednichenko</w:t>
            </w:r>
            <w:r w:rsidRPr="00F52912">
              <w:rPr>
                <w:rFonts w:eastAsia="Calibri"/>
                <w:sz w:val="20"/>
                <w:szCs w:val="20"/>
                <w:lang w:val="kk-KZ"/>
              </w:rPr>
              <w:t>, Igor Magda, Serikbay Nuraliyev, Anastassiya Pilyugina, Dinara Azizbekova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>первый автор, автор - корреспонден</w:t>
            </w:r>
            <w:r w:rsidRPr="00F52912">
              <w:rPr>
                <w:sz w:val="18"/>
                <w:szCs w:val="20"/>
                <w:lang w:val="ru-RU"/>
              </w:rPr>
              <w:t>т</w:t>
            </w:r>
          </w:p>
        </w:tc>
      </w:tr>
      <w:tr w:rsidR="00444803" w:rsidRPr="00F52912" w:rsidTr="00DB07C5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52912">
              <w:rPr>
                <w:rFonts w:eastAsia="Calibri"/>
                <w:sz w:val="20"/>
                <w:szCs w:val="20"/>
              </w:rPr>
              <w:t xml:space="preserve">Eco-toxicological effects assessment: comparative characteristics of environmental conditions and status of vertebrate indicator species in the “Dnepr” launch vehicle accident zone.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52912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52912">
              <w:rPr>
                <w:rFonts w:eastAsia="Calibri"/>
                <w:sz w:val="20"/>
                <w:szCs w:val="20"/>
              </w:rPr>
              <w:t>Environmental Monitoring and Assessment</w:t>
            </w:r>
            <w:proofErr w:type="gramStart"/>
            <w:r w:rsidRPr="00F52912">
              <w:rPr>
                <w:rFonts w:eastAsia="Calibri"/>
                <w:sz w:val="20"/>
                <w:szCs w:val="20"/>
              </w:rPr>
              <w:t>,196</w:t>
            </w:r>
            <w:proofErr w:type="gramEnd"/>
            <w:r w:rsidRPr="00F52912">
              <w:rPr>
                <w:rFonts w:eastAsia="Calibri"/>
                <w:sz w:val="20"/>
                <w:szCs w:val="20"/>
              </w:rPr>
              <w:t>, 951 2024. https://doi.org/10.1007/s10661-024-13083-2  Q2, 67%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912">
              <w:rPr>
                <w:sz w:val="20"/>
                <w:szCs w:val="20"/>
              </w:rPr>
              <w:t>IF</w:t>
            </w:r>
            <w:r w:rsidRPr="00F52912">
              <w:rPr>
                <w:rFonts w:eastAsia="Calibri"/>
                <w:sz w:val="20"/>
                <w:szCs w:val="20"/>
                <w:lang w:val="ru-RU"/>
              </w:rPr>
              <w:t xml:space="preserve"> 2.9</w:t>
            </w:r>
            <w:r w:rsidRPr="00F52912">
              <w:rPr>
                <w:sz w:val="20"/>
                <w:szCs w:val="20"/>
              </w:rPr>
              <w:t>, Q</w:t>
            </w:r>
            <w:r w:rsidRPr="00F5291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</w:rPr>
            </w:pPr>
            <w:r w:rsidRPr="00F52912">
              <w:rPr>
                <w:sz w:val="20"/>
              </w:rPr>
              <w:t xml:space="preserve">H-INDEX= </w:t>
            </w:r>
            <w:r w:rsidRPr="00F52912">
              <w:rPr>
                <w:sz w:val="20"/>
                <w:lang w:val="ru-RU"/>
              </w:rPr>
              <w:t>152</w:t>
            </w:r>
            <w:r w:rsidRPr="00F52912">
              <w:rPr>
                <w:sz w:val="20"/>
              </w:rPr>
              <w:t>, Q</w:t>
            </w:r>
            <w:r w:rsidRPr="00F52912">
              <w:rPr>
                <w:sz w:val="20"/>
                <w:lang w:val="ru-RU"/>
              </w:rPr>
              <w:t>2</w:t>
            </w:r>
            <w:r w:rsidRPr="00F52912">
              <w:rPr>
                <w:sz w:val="20"/>
              </w:rPr>
              <w:t>,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</w:rPr>
              <w:t>SJR 0,</w:t>
            </w:r>
            <w:r w:rsidRPr="00F52912">
              <w:rPr>
                <w:sz w:val="20"/>
                <w:lang w:val="ru-RU"/>
              </w:rPr>
              <w:t>690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Cite Score 4.7; Рercentile 70%</w:t>
            </w:r>
          </w:p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20"/>
                <w:lang w:val="kk-KZ"/>
              </w:rPr>
            </w:pPr>
            <w:r w:rsidRPr="00F52912">
              <w:rPr>
                <w:sz w:val="20"/>
                <w:lang w:val="kk-KZ"/>
              </w:rPr>
              <w:t>Q2. Biology,</w:t>
            </w:r>
            <w:r w:rsidRPr="00F52912">
              <w:t xml:space="preserve"> </w:t>
            </w:r>
            <w:r w:rsidRPr="00F52912">
              <w:rPr>
                <w:sz w:val="20"/>
                <w:lang w:val="kk-KZ"/>
              </w:rPr>
              <w:t>General Environmental Science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rPr>
                <w:rFonts w:eastAsia="Calibri"/>
                <w:sz w:val="20"/>
                <w:szCs w:val="20"/>
                <w:u w:val="single"/>
                <w:lang w:val="kk-KZ"/>
              </w:rPr>
            </w:pPr>
            <w:r w:rsidRPr="00F52912">
              <w:rPr>
                <w:rFonts w:eastAsia="Calibri"/>
                <w:b/>
                <w:sz w:val="20"/>
                <w:szCs w:val="20"/>
                <w:u w:val="single"/>
                <w:lang w:val="kk-KZ"/>
              </w:rPr>
              <w:t>Сherednichenko, O.,</w:t>
            </w:r>
            <w:r w:rsidRPr="00F52912">
              <w:rPr>
                <w:rFonts w:eastAsia="Calibri"/>
                <w:sz w:val="20"/>
                <w:szCs w:val="20"/>
                <w:lang w:val="kk-KZ"/>
              </w:rPr>
              <w:t xml:space="preserve"> Chirikova, M., Magda, I., O. Lopatin, S.Nuraliyev, A.Pilyugina and D. Azizbekova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803" w:rsidRPr="00F52912" w:rsidRDefault="00444803" w:rsidP="000C072B">
            <w:pPr>
              <w:spacing w:after="0" w:line="240" w:lineRule="auto"/>
              <w:ind w:left="20"/>
              <w:jc w:val="center"/>
              <w:rPr>
                <w:sz w:val="18"/>
                <w:szCs w:val="20"/>
                <w:lang w:val="kk-KZ"/>
              </w:rPr>
            </w:pPr>
            <w:r w:rsidRPr="00F52912">
              <w:rPr>
                <w:sz w:val="18"/>
                <w:szCs w:val="20"/>
                <w:lang w:val="kk-KZ"/>
              </w:rPr>
              <w:t>первый автор, автор - корреспонден</w:t>
            </w:r>
            <w:r w:rsidRPr="00F52912">
              <w:rPr>
                <w:sz w:val="18"/>
                <w:szCs w:val="20"/>
                <w:lang w:val="ru-RU"/>
              </w:rPr>
              <w:t>т</w:t>
            </w:r>
          </w:p>
        </w:tc>
      </w:tr>
    </w:tbl>
    <w:p w:rsidR="0043059E" w:rsidRPr="00F52912" w:rsidRDefault="0043059E" w:rsidP="0043059E">
      <w:pPr>
        <w:spacing w:after="0" w:line="240" w:lineRule="auto"/>
        <w:jc w:val="both"/>
        <w:rPr>
          <w:sz w:val="16"/>
          <w:szCs w:val="16"/>
          <w:lang w:val="kk-KZ"/>
        </w:rPr>
      </w:pPr>
      <w:r w:rsidRPr="00F52912">
        <w:rPr>
          <w:sz w:val="20"/>
          <w:szCs w:val="16"/>
          <w:lang w:val="kk-KZ"/>
        </w:rPr>
        <w:t>      * область науки, по которой присвоен указанный квартиль или процентиль.</w:t>
      </w:r>
    </w:p>
    <w:p w:rsidR="0043059E" w:rsidRPr="00F52912" w:rsidRDefault="0043059E" w:rsidP="0043059E">
      <w:pPr>
        <w:spacing w:after="0" w:line="240" w:lineRule="auto"/>
        <w:jc w:val="both"/>
        <w:rPr>
          <w:sz w:val="20"/>
          <w:szCs w:val="16"/>
          <w:lang w:val="kk-KZ"/>
        </w:rPr>
      </w:pPr>
      <w:r w:rsidRPr="00F52912">
        <w:rPr>
          <w:sz w:val="20"/>
          <w:szCs w:val="16"/>
          <w:lang w:val="kk-KZ"/>
        </w:rPr>
        <w:t>      Область науки должна соответствовать специальности, по которой запрашивается ученое звание.</w:t>
      </w:r>
    </w:p>
    <w:p w:rsidR="00F54FD1" w:rsidRPr="00F52912" w:rsidRDefault="00F54FD1" w:rsidP="00F54FD1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54FD1" w:rsidRPr="00F52912" w:rsidRDefault="00F54FD1" w:rsidP="00F54FD1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b/>
          <w:sz w:val="24"/>
          <w:szCs w:val="24"/>
          <w:lang w:val="ru-RU" w:eastAsia="ru-RU"/>
        </w:rPr>
      </w:pPr>
    </w:p>
    <w:p w:rsidR="00F54FD1" w:rsidRPr="00F52912" w:rsidRDefault="00F54FD1" w:rsidP="00F54FD1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b/>
          <w:sz w:val="24"/>
          <w:szCs w:val="24"/>
          <w:lang w:val="ru-RU" w:eastAsia="ru-RU"/>
        </w:rPr>
      </w:pPr>
    </w:p>
    <w:p w:rsidR="00F54FD1" w:rsidRPr="00F52912" w:rsidRDefault="00F54FD1" w:rsidP="00F54FD1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>СПИСОК НАУЧНЫХ ТРУДОВ</w:t>
      </w:r>
    </w:p>
    <w:p w:rsidR="00100A63" w:rsidRPr="00F52912" w:rsidRDefault="00F54FD1" w:rsidP="00F54FD1">
      <w:pPr>
        <w:numPr>
          <w:ilvl w:val="12"/>
          <w:numId w:val="0"/>
        </w:num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>Чередниченко Оксаны Геннадьевны</w:t>
      </w:r>
      <w:r w:rsidR="00100A63" w:rsidRPr="00F52912">
        <w:rPr>
          <w:b/>
          <w:sz w:val="24"/>
          <w:szCs w:val="24"/>
          <w:lang w:val="ru-RU" w:eastAsia="ru-RU"/>
        </w:rPr>
        <w:t xml:space="preserve">, </w:t>
      </w:r>
    </w:p>
    <w:p w:rsidR="00100A63" w:rsidRPr="00F52912" w:rsidRDefault="00100A63" w:rsidP="00F54FD1">
      <w:pPr>
        <w:numPr>
          <w:ilvl w:val="12"/>
          <w:numId w:val="0"/>
        </w:num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 xml:space="preserve">заведующей лабораторией генетического мониторинга, </w:t>
      </w:r>
    </w:p>
    <w:p w:rsidR="00100A63" w:rsidRPr="00F52912" w:rsidRDefault="00100A63" w:rsidP="00F54FD1">
      <w:pPr>
        <w:numPr>
          <w:ilvl w:val="12"/>
          <w:numId w:val="0"/>
        </w:num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>опубликованных после получения степени «Кандидат биологических наук» (27 ноября 199</w:t>
      </w:r>
      <w:r w:rsidR="003F225C" w:rsidRPr="00F52912">
        <w:rPr>
          <w:b/>
          <w:sz w:val="24"/>
          <w:szCs w:val="24"/>
          <w:lang w:val="ru-RU" w:eastAsia="ru-RU"/>
        </w:rPr>
        <w:t>8</w:t>
      </w:r>
      <w:r w:rsidRPr="00F52912">
        <w:rPr>
          <w:b/>
          <w:sz w:val="24"/>
          <w:szCs w:val="24"/>
          <w:lang w:val="ru-RU" w:eastAsia="ru-RU"/>
        </w:rPr>
        <w:t xml:space="preserve"> г)</w:t>
      </w:r>
      <w:r w:rsidR="00F54FD1" w:rsidRPr="00F52912">
        <w:rPr>
          <w:b/>
          <w:sz w:val="24"/>
          <w:szCs w:val="24"/>
          <w:lang w:val="ru-RU" w:eastAsia="ru-RU"/>
        </w:rPr>
        <w:t xml:space="preserve">, </w:t>
      </w:r>
    </w:p>
    <w:p w:rsidR="00F54FD1" w:rsidRPr="00F52912" w:rsidRDefault="00F54FD1" w:rsidP="00F54FD1">
      <w:pPr>
        <w:numPr>
          <w:ilvl w:val="12"/>
          <w:numId w:val="0"/>
        </w:num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>рекомендованных К</w:t>
      </w:r>
      <w:r w:rsidR="00F43AD3" w:rsidRPr="00F52912">
        <w:rPr>
          <w:b/>
          <w:sz w:val="24"/>
          <w:szCs w:val="24"/>
          <w:lang w:val="ru-RU" w:eastAsia="ru-RU"/>
        </w:rPr>
        <w:t>О</w:t>
      </w:r>
      <w:r w:rsidRPr="00F52912">
        <w:rPr>
          <w:b/>
          <w:sz w:val="24"/>
          <w:szCs w:val="24"/>
          <w:lang w:val="ru-RU" w:eastAsia="ru-RU"/>
        </w:rPr>
        <w:t>КН</w:t>
      </w:r>
      <w:r w:rsidR="00F43AD3" w:rsidRPr="00F52912">
        <w:rPr>
          <w:b/>
          <w:sz w:val="24"/>
          <w:szCs w:val="24"/>
          <w:lang w:val="ru-RU" w:eastAsia="ru-RU"/>
        </w:rPr>
        <w:t>ВО</w:t>
      </w:r>
    </w:p>
    <w:p w:rsidR="00F54FD1" w:rsidRPr="00F52912" w:rsidRDefault="00F54FD1" w:rsidP="00F54FD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54FD1" w:rsidRPr="00F52912" w:rsidRDefault="00F54FD1" w:rsidP="00F54FD1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F52912">
        <w:rPr>
          <w:b/>
          <w:sz w:val="24"/>
          <w:szCs w:val="24"/>
          <w:lang w:val="kk-KZ"/>
        </w:rPr>
        <w:t>Монографии</w:t>
      </w:r>
    </w:p>
    <w:p w:rsidR="00F54FD1" w:rsidRPr="00F52912" w:rsidRDefault="00F54FD1" w:rsidP="00F54FD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</w:t>
      </w:r>
      <w:r w:rsidRPr="00F52912">
        <w:rPr>
          <w:sz w:val="24"/>
          <w:szCs w:val="24"/>
          <w:lang w:val="kk-KZ"/>
        </w:rPr>
        <w:t xml:space="preserve"> Атлас хромосомных, ядерных и клеточных нарушений у основных тест-объектов, Алматы «Қазақ  университеті» 2020 ISBN 978-601-04-4732-5. 464с. </w:t>
      </w:r>
    </w:p>
    <w:p w:rsidR="00F54FD1" w:rsidRPr="00F52912" w:rsidRDefault="00F54FD1" w:rsidP="00F54FD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Пилюгина А.Л. Ионизирующее и неионизирующее излучение: цитогенетические эффекты in vivo и in vitro, Алматы 2022, ISBN 978-601-04-5860-4. 175с.</w:t>
      </w:r>
    </w:p>
    <w:p w:rsidR="00F54FD1" w:rsidRPr="00F52912" w:rsidRDefault="00F54FD1" w:rsidP="00F54FD1">
      <w:pPr>
        <w:spacing w:after="0" w:line="240" w:lineRule="auto"/>
        <w:ind w:left="360"/>
        <w:jc w:val="both"/>
        <w:rPr>
          <w:sz w:val="24"/>
          <w:szCs w:val="24"/>
          <w:lang w:val="kk-KZ"/>
        </w:rPr>
      </w:pPr>
    </w:p>
    <w:p w:rsidR="00444803" w:rsidRPr="00F52912" w:rsidRDefault="00444803" w:rsidP="00F54FD1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F52912">
        <w:rPr>
          <w:b/>
          <w:sz w:val="24"/>
          <w:szCs w:val="24"/>
          <w:lang w:val="kk-KZ"/>
        </w:rPr>
        <w:t xml:space="preserve">Глава в монографии </w:t>
      </w:r>
    </w:p>
    <w:p w:rsidR="004A7434" w:rsidRPr="00F52912" w:rsidRDefault="00444803" w:rsidP="00F54FD1">
      <w:pPr>
        <w:spacing w:after="0" w:line="240" w:lineRule="auto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Oksana Cherednichenko</w:t>
      </w:r>
      <w:r w:rsidRPr="00F52912">
        <w:rPr>
          <w:sz w:val="24"/>
          <w:szCs w:val="24"/>
          <w:lang w:val="kk-KZ"/>
        </w:rPr>
        <w:t xml:space="preserve">, Anastassiya Pilyugina, Serikbai Nuraliev Сytogenetical bioindication of pesticidal pollution" in the book "Pesticides in the Natural Environment" Pesticides in the Natural Environment: Sources, Health Risks, and Remediation edited by Pardeep Singh, Suruchi Singh, Mika Sillanpää, Chapter 10, P. 227-260,  </w:t>
      </w:r>
      <w:r w:rsidRPr="00F52912">
        <w:rPr>
          <w:b/>
          <w:i/>
          <w:sz w:val="24"/>
          <w:szCs w:val="24"/>
          <w:lang w:val="kk-KZ"/>
        </w:rPr>
        <w:t>Elsevier</w:t>
      </w:r>
      <w:r w:rsidRPr="00F52912">
        <w:rPr>
          <w:i/>
          <w:sz w:val="24"/>
          <w:szCs w:val="24"/>
          <w:lang w:val="kk-KZ"/>
        </w:rPr>
        <w:t>,</w:t>
      </w:r>
      <w:r w:rsidRPr="00F52912">
        <w:rPr>
          <w:sz w:val="24"/>
          <w:szCs w:val="24"/>
          <w:lang w:val="kk-KZ"/>
        </w:rPr>
        <w:t xml:space="preserve"> 2022, ISBN 0323904904, 9780323904902. https://doi.org/10.1016/B978-0-323-90489-6.00010-0. </w:t>
      </w:r>
      <w:r w:rsidRPr="00F52912">
        <w:rPr>
          <w:i/>
          <w:sz w:val="24"/>
          <w:szCs w:val="24"/>
          <w:lang w:val="kk-KZ"/>
        </w:rPr>
        <w:t>3,93 п.л.</w:t>
      </w:r>
      <w:r w:rsidRPr="00F52912">
        <w:rPr>
          <w:sz w:val="24"/>
          <w:szCs w:val="24"/>
          <w:lang w:val="kk-KZ"/>
        </w:rPr>
        <w:t xml:space="preserve"> Первый автор, автор </w:t>
      </w:r>
      <w:r w:rsidRPr="00F52912">
        <w:rPr>
          <w:sz w:val="24"/>
          <w:szCs w:val="24"/>
        </w:rPr>
        <w:t>-</w:t>
      </w:r>
      <w:r w:rsidRPr="00F52912">
        <w:rPr>
          <w:sz w:val="24"/>
          <w:szCs w:val="24"/>
          <w:lang w:val="kk-KZ"/>
        </w:rPr>
        <w:t xml:space="preserve"> корреспонден</w:t>
      </w:r>
      <w:r w:rsidRPr="00F52912">
        <w:rPr>
          <w:sz w:val="24"/>
          <w:szCs w:val="24"/>
          <w:lang w:val="ru-RU"/>
        </w:rPr>
        <w:t>т</w:t>
      </w:r>
    </w:p>
    <w:p w:rsidR="004A7434" w:rsidRPr="00F52912" w:rsidRDefault="004A7434" w:rsidP="00F54FD1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54FD1" w:rsidRPr="00F52912" w:rsidRDefault="00F54FD1" w:rsidP="00F54FD1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F52912">
        <w:rPr>
          <w:b/>
          <w:sz w:val="24"/>
          <w:szCs w:val="24"/>
          <w:lang w:val="kk-KZ"/>
        </w:rPr>
        <w:t>Статьи</w:t>
      </w:r>
      <w:r w:rsidR="00EA469D" w:rsidRPr="00F52912">
        <w:rPr>
          <w:b/>
          <w:sz w:val="24"/>
          <w:szCs w:val="24"/>
          <w:lang w:val="kk-KZ"/>
        </w:rPr>
        <w:t xml:space="preserve"> </w:t>
      </w:r>
      <w:r w:rsidR="00EA469D" w:rsidRPr="00F52912">
        <w:rPr>
          <w:b/>
          <w:lang w:val="ru-RU"/>
        </w:rPr>
        <w:t>КОКНВО</w:t>
      </w:r>
    </w:p>
    <w:p w:rsidR="00EA469D" w:rsidRPr="00F52912" w:rsidRDefault="007A1778" w:rsidP="00EA469D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>Gubitskaya</w:t>
      </w:r>
      <w:r w:rsidR="00372C09" w:rsidRPr="00F52912">
        <w:rPr>
          <w:sz w:val="24"/>
          <w:szCs w:val="24"/>
          <w:lang w:val="kk-KZ"/>
        </w:rPr>
        <w:t xml:space="preserve"> E.G.</w:t>
      </w:r>
      <w:r w:rsidRPr="00F52912">
        <w:rPr>
          <w:sz w:val="24"/>
          <w:szCs w:val="24"/>
          <w:lang w:val="kk-KZ"/>
        </w:rPr>
        <w:t>, N.B.Akhmatullina, E.B.</w:t>
      </w:r>
      <w:r w:rsidRPr="00F52912">
        <w:rPr>
          <w:sz w:val="24"/>
          <w:szCs w:val="24"/>
        </w:rPr>
        <w:t xml:space="preserve"> </w:t>
      </w:r>
      <w:r w:rsidRPr="00F52912">
        <w:rPr>
          <w:sz w:val="24"/>
          <w:szCs w:val="24"/>
          <w:lang w:val="kk-KZ"/>
        </w:rPr>
        <w:t>Vsevolodov, S.S.Vishnevskaya, I.K. Sharipov</w:t>
      </w:r>
      <w:r w:rsidRPr="00F52912">
        <w:rPr>
          <w:sz w:val="24"/>
          <w:szCs w:val="24"/>
        </w:rPr>
        <w:t>,</w:t>
      </w:r>
      <w:r w:rsidRPr="00F52912">
        <w:rPr>
          <w:sz w:val="24"/>
          <w:szCs w:val="24"/>
          <w:lang w:val="kk-KZ"/>
        </w:rPr>
        <w:t xml:space="preserve"> </w:t>
      </w:r>
      <w:r w:rsidRPr="00F52912">
        <w:rPr>
          <w:sz w:val="24"/>
          <w:szCs w:val="24"/>
          <w:u w:val="single"/>
          <w:lang w:val="kk-KZ"/>
        </w:rPr>
        <w:t>O.G. Cherednichenko</w:t>
      </w:r>
      <w:r w:rsidRPr="00F52912">
        <w:rPr>
          <w:sz w:val="24"/>
          <w:szCs w:val="24"/>
          <w:lang w:val="kk-KZ"/>
        </w:rPr>
        <w:t xml:space="preserve"> Frequency of chromosome aberrations in </w:t>
      </w:r>
      <w:r w:rsidRPr="00F52912">
        <w:rPr>
          <w:sz w:val="24"/>
          <w:szCs w:val="24"/>
        </w:rPr>
        <w:t xml:space="preserve">the population of the </w:t>
      </w:r>
      <w:r w:rsidRPr="00F52912">
        <w:rPr>
          <w:sz w:val="24"/>
          <w:szCs w:val="24"/>
          <w:lang w:val="kk-KZ"/>
        </w:rPr>
        <w:t xml:space="preserve">Semipalatinsk </w:t>
      </w:r>
      <w:r w:rsidRPr="00F52912">
        <w:rPr>
          <w:sz w:val="24"/>
          <w:szCs w:val="24"/>
        </w:rPr>
        <w:t xml:space="preserve">oblast. </w:t>
      </w:r>
      <w:r w:rsidRPr="00F52912">
        <w:rPr>
          <w:sz w:val="24"/>
          <w:szCs w:val="24"/>
          <w:lang w:val="kk-KZ"/>
        </w:rPr>
        <w:t xml:space="preserve"> Russian Journal of Genetics</w:t>
      </w:r>
      <w:r w:rsidR="00A80E4B" w:rsidRPr="00F52912">
        <w:rPr>
          <w:sz w:val="24"/>
          <w:szCs w:val="24"/>
        </w:rPr>
        <w:t>.</w:t>
      </w:r>
      <w:r w:rsidRPr="00F52912">
        <w:rPr>
          <w:sz w:val="24"/>
          <w:szCs w:val="24"/>
          <w:lang w:val="kk-KZ"/>
        </w:rPr>
        <w:t xml:space="preserve"> 1999. </w:t>
      </w:r>
      <w:r w:rsidR="00A80E4B" w:rsidRPr="00F52912">
        <w:rPr>
          <w:sz w:val="24"/>
          <w:szCs w:val="24"/>
        </w:rPr>
        <w:t>35(</w:t>
      </w:r>
      <w:r w:rsidRPr="00F52912">
        <w:rPr>
          <w:sz w:val="24"/>
          <w:szCs w:val="24"/>
          <w:lang w:val="kk-KZ"/>
        </w:rPr>
        <w:t>6</w:t>
      </w:r>
      <w:r w:rsidR="00A80E4B" w:rsidRPr="00F52912">
        <w:rPr>
          <w:sz w:val="24"/>
          <w:szCs w:val="24"/>
        </w:rPr>
        <w:t>)</w:t>
      </w:r>
      <w:r w:rsidRPr="00F52912">
        <w:rPr>
          <w:sz w:val="24"/>
          <w:szCs w:val="24"/>
          <w:lang w:val="kk-KZ"/>
        </w:rPr>
        <w:t xml:space="preserve">. </w:t>
      </w:r>
      <w:r w:rsidR="00A80E4B" w:rsidRPr="00F52912">
        <w:rPr>
          <w:sz w:val="24"/>
          <w:szCs w:val="24"/>
        </w:rPr>
        <w:t>P</w:t>
      </w:r>
      <w:r w:rsidRPr="00F52912">
        <w:rPr>
          <w:sz w:val="24"/>
          <w:szCs w:val="24"/>
          <w:lang w:val="kk-KZ"/>
        </w:rPr>
        <w:t xml:space="preserve">. </w:t>
      </w:r>
      <w:r w:rsidR="00A80E4B" w:rsidRPr="00F52912">
        <w:rPr>
          <w:sz w:val="24"/>
          <w:szCs w:val="24"/>
        </w:rPr>
        <w:t>771-721</w:t>
      </w:r>
      <w:r w:rsidRPr="00F52912">
        <w:rPr>
          <w:sz w:val="24"/>
          <w:szCs w:val="24"/>
          <w:lang w:val="kk-KZ"/>
        </w:rPr>
        <w:t>.</w:t>
      </w:r>
      <w:r w:rsidR="00EA469D" w:rsidRPr="00F52912">
        <w:t xml:space="preserve"> </w:t>
      </w:r>
      <w:r w:rsidR="00EA469D" w:rsidRPr="00F52912">
        <w:rPr>
          <w:sz w:val="24"/>
          <w:szCs w:val="24"/>
          <w:lang w:val="kk-KZ"/>
        </w:rPr>
        <w:t>Q4</w:t>
      </w:r>
      <w:r w:rsidR="00372C09" w:rsidRPr="00F52912">
        <w:rPr>
          <w:sz w:val="24"/>
          <w:szCs w:val="24"/>
          <w:lang w:val="kk-KZ"/>
        </w:rPr>
        <w:t xml:space="preserve"> </w:t>
      </w:r>
    </w:p>
    <w:p w:rsidR="00372C09" w:rsidRPr="00F52912" w:rsidRDefault="00372C09" w:rsidP="00372C0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 xml:space="preserve">Cherednichenko O.G., </w:t>
      </w:r>
      <w:r w:rsidRPr="00F52912">
        <w:rPr>
          <w:sz w:val="24"/>
          <w:szCs w:val="24"/>
          <w:lang w:val="kk-KZ"/>
        </w:rPr>
        <w:t xml:space="preserve">Biyasheva Z.M., Akhmatullina N.B. Genetic analysis of recessive lethal mutations induced by influenza virus in the X chromosome of </w:t>
      </w:r>
      <w:r w:rsidRPr="00F52912">
        <w:rPr>
          <w:i/>
          <w:sz w:val="24"/>
          <w:szCs w:val="24"/>
          <w:lang w:val="kk-KZ"/>
        </w:rPr>
        <w:t>Drosophila melanogaster</w:t>
      </w:r>
      <w:r w:rsidRPr="00F52912">
        <w:rPr>
          <w:sz w:val="24"/>
          <w:szCs w:val="24"/>
          <w:lang w:val="kk-KZ"/>
        </w:rPr>
        <w:t xml:space="preserve"> Genetics 2001, </w:t>
      </w:r>
      <w:proofErr w:type="spellStart"/>
      <w:r w:rsidRPr="00F52912">
        <w:rPr>
          <w:sz w:val="24"/>
          <w:szCs w:val="24"/>
        </w:rPr>
        <w:t>Vol</w:t>
      </w:r>
      <w:proofErr w:type="spellEnd"/>
      <w:r w:rsidRPr="00F52912">
        <w:rPr>
          <w:sz w:val="24"/>
          <w:szCs w:val="24"/>
        </w:rPr>
        <w:t xml:space="preserve"> 37, </w:t>
      </w:r>
      <w:r w:rsidRPr="00F52912">
        <w:rPr>
          <w:sz w:val="24"/>
          <w:szCs w:val="24"/>
          <w:lang w:val="kk-KZ"/>
        </w:rPr>
        <w:t xml:space="preserve">No. 7, pp. 908-914. Q4, </w:t>
      </w:r>
    </w:p>
    <w:p w:rsidR="00F54FD1" w:rsidRPr="00F52912" w:rsidRDefault="00F54FD1" w:rsidP="00372C0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Дехандт И.И., Нуркеева З.С., Ахматуллина Н.Б., Мун Г.А. Изучение мутагенной активности сшитого полимера винилового эфира этиленгликоля, введенного invivo в стенку мочевого пузыря собак. Известия МОН РК Сер. Биол. и мед. 2002г.,N1, с. 75-78 </w:t>
      </w:r>
    </w:p>
    <w:p w:rsidR="00F54FD1" w:rsidRPr="00F52912" w:rsidRDefault="00F54FD1" w:rsidP="007A177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Ахматуллина Н.Б., Макаренко Н.Г., Искандарова К.А., </w:t>
      </w:r>
      <w:r w:rsidRPr="00F52912">
        <w:rPr>
          <w:sz w:val="24"/>
          <w:szCs w:val="24"/>
          <w:u w:val="single"/>
          <w:lang w:val="kk-KZ"/>
        </w:rPr>
        <w:t>Чередниченко О.Г</w:t>
      </w:r>
      <w:r w:rsidRPr="00F52912">
        <w:rPr>
          <w:sz w:val="24"/>
          <w:szCs w:val="24"/>
          <w:lang w:val="kk-KZ"/>
        </w:rPr>
        <w:t>., Ким С. Математический анализ генетических эффектов малых доз ионизирующих излучений Радиационная биология. Радиоэкология, 2002, N6, с. 614-617</w:t>
      </w:r>
      <w:r w:rsidR="007A1778" w:rsidRPr="00F52912">
        <w:rPr>
          <w:sz w:val="24"/>
          <w:szCs w:val="24"/>
          <w:lang w:val="ru-RU"/>
        </w:rPr>
        <w:t>.</w:t>
      </w:r>
      <w:r w:rsidR="007A1778" w:rsidRPr="00F52912">
        <w:rPr>
          <w:sz w:val="24"/>
          <w:szCs w:val="24"/>
        </w:rPr>
        <w:t xml:space="preserve"> </w:t>
      </w:r>
      <w:r w:rsidRPr="00F52912">
        <w:rPr>
          <w:sz w:val="24"/>
          <w:szCs w:val="24"/>
          <w:lang w:val="kk-KZ"/>
        </w:rPr>
        <w:t xml:space="preserve"> </w:t>
      </w:r>
      <w:r w:rsidR="007A1778" w:rsidRPr="00F52912">
        <w:rPr>
          <w:sz w:val="24"/>
          <w:szCs w:val="24"/>
          <w:lang w:val="kk-KZ"/>
        </w:rPr>
        <w:t>Q4, h-32, SJR 0.181, IF 0</w:t>
      </w:r>
      <w:r w:rsidR="007A1778" w:rsidRPr="00F52912">
        <w:rPr>
          <w:sz w:val="24"/>
          <w:szCs w:val="24"/>
        </w:rPr>
        <w:t>.</w:t>
      </w:r>
      <w:r w:rsidR="007A1778" w:rsidRPr="00F52912">
        <w:rPr>
          <w:sz w:val="24"/>
          <w:szCs w:val="24"/>
          <w:lang w:val="kk-KZ"/>
        </w:rPr>
        <w:t>6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Ахматуллина Н.Б., Губицкая Е.Г., </w:t>
      </w: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Байгушикова Г.М., Исмаилов С.Б. Цитогенетические нарушения у жителей из экологически неблагоприятных регионов Казахстана Медицинский журнал. Астана, 2005. №3, С. 20-23. </w:t>
      </w:r>
    </w:p>
    <w:p w:rsidR="00EA469D" w:rsidRPr="00F52912" w:rsidRDefault="00EA469D" w:rsidP="00EA469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Ахматуллина Н.Б., Исмаилов С.Б. Цитогенетическая оценка хронического влияния генотоксических агентов на жителей п.Кора Мангистауской области Серия биологическая // Известия НАН РК. 2006 № 3 42- 45</w:t>
      </w:r>
    </w:p>
    <w:p w:rsidR="00EA469D" w:rsidRPr="00F52912" w:rsidRDefault="00EA469D" w:rsidP="00EA469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</w:t>
      </w:r>
      <w:r w:rsidRPr="00F52912">
        <w:rPr>
          <w:sz w:val="24"/>
          <w:szCs w:val="24"/>
          <w:lang w:val="kk-KZ"/>
        </w:rPr>
        <w:t xml:space="preserve"> Индукция белков в плазме крови человека при формировании адаптивного ответа Известия НАН РК. Серия биологическая 2006 № 4 с 66-71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lastRenderedPageBreak/>
        <w:t>Чередниченко О.Г.</w:t>
      </w:r>
      <w:r w:rsidRPr="00F52912">
        <w:rPr>
          <w:sz w:val="24"/>
          <w:szCs w:val="24"/>
          <w:lang w:val="kk-KZ"/>
        </w:rPr>
        <w:t xml:space="preserve"> Роль мощности γ-излучения в индукции цитогенетических повреждений и ее влияние на формирование адаптивного ответа  Известия НАН РК. Серия биологическая 2006. № 5 С.64-68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Губицкая Е.Г., </w:t>
      </w: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Ахматуллина Н.Б. Байгушикова Г.М., Цитогенетический статус жителей Алматинской области Вестник НАН РК. Серия биологическая 2007 №2 С. 86-90.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Байгушикова Г.М., Губицкая Е.Г., </w:t>
      </w: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Исаева Р.Б., Ахматуллина Н.Б. Цитогенетические нарушения у детей из региона Приаралья и Алматинской области. Вестник КазНУим.аль-Фараби. Серия биологическая. 2010, № 2. С. 63-66. 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</w:t>
      </w:r>
      <w:r w:rsidRPr="00F52912">
        <w:rPr>
          <w:sz w:val="24"/>
          <w:szCs w:val="24"/>
          <w:lang w:val="kk-KZ"/>
        </w:rPr>
        <w:t xml:space="preserve"> Стабильные аберрации хромосом индуцированные различными дозами  γ-излучения и при длительном культивировании лимфоцитов Вестник КазНУ им.аль-Фараби. Серия биологическая 2011, №1 (47), 49-53.</w:t>
      </w:r>
    </w:p>
    <w:p w:rsidR="004A7434" w:rsidRPr="00F52912" w:rsidRDefault="004A7434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</w:t>
      </w:r>
      <w:r w:rsidRPr="00F52912">
        <w:rPr>
          <w:sz w:val="24"/>
          <w:szCs w:val="24"/>
          <w:lang w:val="kk-KZ"/>
        </w:rPr>
        <w:t xml:space="preserve"> Цитогенетическая оценка хронического влияния рентгеновского излучения на человека // Вестник НЯЦ РК 2011, №1, С.107-110.</w:t>
      </w:r>
    </w:p>
    <w:p w:rsidR="004A7434" w:rsidRPr="00F52912" w:rsidRDefault="004A7434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Асаубаева Д.Ж., </w:t>
      </w: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Ахматуллина Н.Б., Индукция эффекта свидетеля в лимфоцитах человека при воздействии ионизирующей радиации Вестник КазНУ. Сер. Биологическая. 2012. 4(56). С.353-355. </w:t>
      </w:r>
    </w:p>
    <w:p w:rsidR="004A7434" w:rsidRPr="00F52912" w:rsidRDefault="004A7434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Губицкая Е.Г Цитогенетические нарушения в лимфоцитах людей, профессионально контактирующих с пробами, содержащими радионуклиды различной  интенсивности Вестник КазНУ. Сер. Биологическая. 2013. 2/2(38). С.388-392.</w:t>
      </w:r>
    </w:p>
    <w:p w:rsidR="00DA7E9F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 Губицкая Е.Г. Цитогенетический анализ медицинских работников контактирующих с источниками ионизирующей радиации // Вестник НЯЦ РК 2016.- №1.- С. 112-116. </w:t>
      </w:r>
      <w:hyperlink r:id="rId6" w:history="1">
        <w:r w:rsidR="00DA7E9F" w:rsidRPr="00F52912">
          <w:rPr>
            <w:rStyle w:val="a6"/>
            <w:sz w:val="24"/>
            <w:szCs w:val="24"/>
            <w:lang w:val="kk-KZ"/>
          </w:rPr>
          <w:t>http://old.nnc.kz/arhivzhurnala.html</w:t>
        </w:r>
      </w:hyperlink>
    </w:p>
    <w:p w:rsidR="00DA7E9F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 О.Г.</w:t>
      </w:r>
      <w:r w:rsidRPr="00F52912">
        <w:rPr>
          <w:sz w:val="24"/>
          <w:szCs w:val="24"/>
          <w:lang w:val="kk-KZ"/>
        </w:rPr>
        <w:t xml:space="preserve"> Комбинированное воздействие рентгеновского и   γ- излучений на клетки периферической крови человека in vivo и in vitro. Вестник КазНУ. Сер. Биологическая 2016. №1. С. 107-116. </w:t>
      </w:r>
      <w:hyperlink r:id="rId7" w:history="1">
        <w:r w:rsidR="00DA7E9F" w:rsidRPr="00F52912">
          <w:rPr>
            <w:rStyle w:val="a6"/>
            <w:sz w:val="24"/>
            <w:szCs w:val="24"/>
            <w:lang w:val="kk-KZ"/>
          </w:rPr>
          <w:t>http://bb.kaznu.kz/index.php/biology/article/view/1166</w:t>
        </w:r>
      </w:hyperlink>
    </w:p>
    <w:p w:rsidR="00DA7E9F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Магда И.Н., А.Л. Пилюгина, Е.Г. Губицкая, Л.Б. Джансугурова Оценка генетического статуса ихтиофауны Атырауской области с помощью микроядерного теста // Известия НАН РК, сер. Биологическая, 2016. - № 6. – С. 138-144. </w:t>
      </w:r>
      <w:hyperlink r:id="rId8" w:history="1">
        <w:r w:rsidR="00DA7E9F" w:rsidRPr="00F52912">
          <w:rPr>
            <w:rStyle w:val="a6"/>
            <w:sz w:val="24"/>
            <w:szCs w:val="24"/>
            <w:lang w:val="kk-KZ"/>
          </w:rPr>
          <w:t>http://www.biological-medical.kz/images/pdf/b20174/148158.pdf</w:t>
        </w:r>
      </w:hyperlink>
    </w:p>
    <w:p w:rsidR="00DA7E9F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Э.М. Хусаинова, Ф.Т. Муратова, Н.К. Алтынова, </w:t>
      </w:r>
      <w:r w:rsidRPr="00F52912">
        <w:rPr>
          <w:sz w:val="24"/>
          <w:szCs w:val="24"/>
          <w:u w:val="single"/>
          <w:lang w:val="kk-KZ"/>
        </w:rPr>
        <w:t>О.Г. Чередниченко</w:t>
      </w:r>
      <w:r w:rsidRPr="00F52912">
        <w:rPr>
          <w:sz w:val="24"/>
          <w:szCs w:val="24"/>
          <w:lang w:val="kk-KZ"/>
        </w:rPr>
        <w:t xml:space="preserve">, А.С. Амиргалиева, С.А. Касимуратова, О.А. Иксан, О. Сапаргали, Л.Б. Джансугурова, Б.О. Бекманов. Цитогенетическая оценка влияния антропогенных факторов среды на жителей Атырауской области // Известия НАН РК. Серия биологическая и медицинская. - №6(318). - 2016. – С.113-117. </w:t>
      </w:r>
      <w:hyperlink r:id="rId9" w:history="1">
        <w:r w:rsidR="00DA7E9F" w:rsidRPr="00F52912">
          <w:rPr>
            <w:rStyle w:val="a6"/>
            <w:sz w:val="24"/>
            <w:szCs w:val="24"/>
            <w:lang w:val="kk-KZ"/>
          </w:rPr>
          <w:t>http://biological-medical.kz/index.php/en/archive</w:t>
        </w:r>
      </w:hyperlink>
    </w:p>
    <w:p w:rsidR="00CF2228" w:rsidRPr="00F52912" w:rsidRDefault="00CF2228" w:rsidP="00CF222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Губицкая Е.Г. Генетические эффекты факторов стресс-сигнализации, выделенных из плазмы крови людей, подвергающихся воздействию радиации // Вестник НЯЦ РК 2017, №4, С.52-57.</w:t>
      </w:r>
    </w:p>
    <w:p w:rsidR="00DA7E9F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 Пилюгина А.Л. Стресс-сигнализация между облученными и интактными лимфоцитами человека при индукции эффекта свидетеля Известия НАН РК, серия биологическая, 2017, №4, С. 148-158. </w:t>
      </w:r>
      <w:hyperlink r:id="rId10" w:history="1">
        <w:r w:rsidR="00DA7E9F" w:rsidRPr="00F52912">
          <w:rPr>
            <w:rStyle w:val="a6"/>
            <w:sz w:val="24"/>
            <w:szCs w:val="24"/>
            <w:lang w:val="kk-KZ"/>
          </w:rPr>
          <w:t>http://www.biological-medical.kz/images/pdf/b20174/148158.pdf</w:t>
        </w:r>
      </w:hyperlink>
    </w:p>
    <w:p w:rsidR="00DA7E9F" w:rsidRPr="00F52912" w:rsidRDefault="00F54FD1" w:rsidP="004235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Беркимбаева З.А., Ф. Т. Муратова, К.Б. Джантаева, </w:t>
      </w:r>
      <w:r w:rsidRPr="00F52912">
        <w:rPr>
          <w:sz w:val="24"/>
          <w:szCs w:val="24"/>
          <w:u w:val="single"/>
          <w:lang w:val="kk-KZ"/>
        </w:rPr>
        <w:t>О. Г. Чередниченко</w:t>
      </w:r>
      <w:r w:rsidRPr="00F52912">
        <w:rPr>
          <w:sz w:val="24"/>
          <w:szCs w:val="24"/>
          <w:lang w:val="kk-KZ"/>
        </w:rPr>
        <w:t xml:space="preserve">, О. Сапаргали, А. С. Амиргалиева, С.Е. Абдикерим, А.В. Перфильева, С.А. Касимуратова, Г.С. Жунусова, Л. Б. Джансугурова, Б. О. Бекманов, Э. М. Хусаинова. Влияние антропогенных загрязнителей на геномные повреждения лимфоцитов  периферической крови насленения Мангыстауской области: оценка вклада полиморфизмов генов репарации и детоксикации // Известия НАН РК. Серия биологическая и медицинская. </w:t>
      </w:r>
      <w:r w:rsidR="004235F3" w:rsidRPr="00F52912">
        <w:rPr>
          <w:sz w:val="24"/>
          <w:szCs w:val="24"/>
          <w:lang w:val="kk-KZ"/>
        </w:rPr>
        <w:t>2017.  №  5, с.135-143.</w:t>
      </w:r>
      <w:r w:rsidRPr="00F52912">
        <w:rPr>
          <w:sz w:val="24"/>
          <w:szCs w:val="24"/>
          <w:lang w:val="kk-KZ"/>
        </w:rPr>
        <w:t xml:space="preserve"> </w:t>
      </w:r>
      <w:hyperlink r:id="rId11" w:history="1">
        <w:r w:rsidR="00DA7E9F" w:rsidRPr="00F52912">
          <w:rPr>
            <w:rStyle w:val="a6"/>
            <w:sz w:val="24"/>
            <w:szCs w:val="24"/>
            <w:lang w:val="kk-KZ"/>
          </w:rPr>
          <w:t>http://biological-medical.kz/index.php/en/archive</w:t>
        </w:r>
      </w:hyperlink>
    </w:p>
    <w:p w:rsidR="00DA7E9F" w:rsidRPr="00F52912" w:rsidRDefault="00F54FD1" w:rsidP="00DA7E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lastRenderedPageBreak/>
        <w:t xml:space="preserve">Nurzhanova A.A., Z.A. Inelova, L.B. Djansugurova, S.G. Nesterova, N.V. Mit, A.A. Zhubanova, R.Zh. Zhapbasov, M.Kh. Baizhanov, U.N. Kapysheva, Sh.K. Bakhtiyarova, E.M. Khussainova, </w:t>
      </w:r>
      <w:r w:rsidRPr="00F52912">
        <w:rPr>
          <w:sz w:val="24"/>
          <w:szCs w:val="24"/>
          <w:u w:val="single"/>
          <w:lang w:val="kk-KZ"/>
        </w:rPr>
        <w:t>O.G. Cherednichenko, A.S.</w:t>
      </w:r>
      <w:r w:rsidRPr="00F52912">
        <w:rPr>
          <w:sz w:val="24"/>
          <w:szCs w:val="24"/>
          <w:lang w:val="kk-KZ"/>
        </w:rPr>
        <w:t xml:space="preserve"> Mussayeva, E.A. Shadenova, B.O. Bekmanov The problem of unutilized and banned pesticides in kazakhstan (review). Известия НАН РК, Серия биологическая и медицинская т. 4(328) (2018), С. 86 – 96.</w:t>
      </w:r>
      <w:r w:rsidR="00DA7E9F" w:rsidRPr="00F52912">
        <w:rPr>
          <w:lang w:val="ru-RU"/>
        </w:rPr>
        <w:t xml:space="preserve"> </w:t>
      </w:r>
      <w:hyperlink r:id="rId12" w:history="1">
        <w:r w:rsidR="00DA7E9F" w:rsidRPr="00F52912">
          <w:rPr>
            <w:rStyle w:val="a6"/>
            <w:sz w:val="24"/>
            <w:szCs w:val="24"/>
            <w:lang w:val="kk-KZ"/>
          </w:rPr>
          <w:t>https://journals.nauka-nanrk.kz/biological-medical/issue/view/305</w:t>
        </w:r>
      </w:hyperlink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Пилюгина А.Л. Оценка степени поврежденности ДНК и репарации у жителей п. Долонь с помощью comet-test // Вестник НЯЦ РК 2019, выпуск 3, С. 134-138. </w:t>
      </w:r>
    </w:p>
    <w:p w:rsidR="00FD1775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Магда И.Н., Пилюгина А.Л., Байгушикова Г.М., Нуралиев С.К., Джансугурова Л.Б., Нигай Н.Л. Генетический статус мышевидных грызунов, обитающих вблизи мест хранения устаревших запасов пестицидов// Вестник КазНУ, серия экологическая №2(63)2020 С 21-34. </w:t>
      </w:r>
      <w:hyperlink r:id="rId13" w:history="1">
        <w:r w:rsidR="00FD1775" w:rsidRPr="00F52912">
          <w:rPr>
            <w:rStyle w:val="a6"/>
            <w:sz w:val="24"/>
            <w:szCs w:val="24"/>
            <w:lang w:val="kk-KZ"/>
          </w:rPr>
          <w:t>https://doi.org/10.26577/EJE.2020.v63.i2.03</w:t>
        </w:r>
      </w:hyperlink>
    </w:p>
    <w:p w:rsidR="00FD1775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Магда И.Н., Соловьев А.Ю., Мамилов Н.Ш., Арифулова И.А., Чирикова М.А., Пилюгина А.Л., Байгушикова Г.М., Соловьев И.А. Радиоэкологическая характеристика отдельных территорий национального парка Алтын-Эмель // Вестник НЯЦ 1(81) 2020 С. 53-62 </w:t>
      </w:r>
      <w:r w:rsidR="00FD1775" w:rsidRPr="00F52912">
        <w:rPr>
          <w:sz w:val="24"/>
          <w:szCs w:val="24"/>
          <w:lang w:val="kk-KZ"/>
        </w:rPr>
        <w:fldChar w:fldCharType="begin"/>
      </w:r>
      <w:r w:rsidR="00FD1775" w:rsidRPr="00F52912">
        <w:rPr>
          <w:sz w:val="24"/>
          <w:szCs w:val="24"/>
          <w:lang w:val="kk-KZ"/>
        </w:rPr>
        <w:instrText xml:space="preserve"> HYPERLINK "https://www.nnc.kz/publications/bulletin.html" </w:instrText>
      </w:r>
      <w:r w:rsidR="00FD1775" w:rsidRPr="00F52912">
        <w:rPr>
          <w:sz w:val="24"/>
          <w:szCs w:val="24"/>
          <w:lang w:val="kk-KZ"/>
        </w:rPr>
        <w:fldChar w:fldCharType="separate"/>
      </w:r>
      <w:r w:rsidR="00FD1775" w:rsidRPr="00F52912">
        <w:rPr>
          <w:rStyle w:val="a6"/>
          <w:sz w:val="24"/>
          <w:szCs w:val="24"/>
          <w:lang w:val="kk-KZ"/>
        </w:rPr>
        <w:t>https://www.nnc.kz/publications/bulletin.html</w:t>
      </w:r>
      <w:r w:rsidR="00FD1775" w:rsidRPr="00F52912">
        <w:rPr>
          <w:sz w:val="24"/>
          <w:szCs w:val="24"/>
          <w:lang w:val="kk-KZ"/>
        </w:rPr>
        <w:fldChar w:fldCharType="end"/>
      </w:r>
      <w:r w:rsidR="00FD1775" w:rsidRPr="00F52912">
        <w:rPr>
          <w:sz w:val="24"/>
          <w:szCs w:val="24"/>
          <w:lang w:val="ru-RU"/>
        </w:rPr>
        <w:t xml:space="preserve"> </w:t>
      </w:r>
    </w:p>
    <w:p w:rsidR="00FD1775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Байгушикова Г.М., </w:t>
      </w:r>
      <w:r w:rsidRPr="00F52912">
        <w:rPr>
          <w:sz w:val="24"/>
          <w:szCs w:val="24"/>
          <w:u w:val="single"/>
          <w:lang w:val="kk-KZ"/>
        </w:rPr>
        <w:t>О.Г. Чередниченко</w:t>
      </w:r>
      <w:r w:rsidRPr="00F52912">
        <w:rPr>
          <w:sz w:val="24"/>
          <w:szCs w:val="24"/>
          <w:lang w:val="kk-KZ"/>
        </w:rPr>
        <w:t xml:space="preserve">, А.Л. Пилюгина, С.К. Нұралиев, Б.О. Бекманов Жойылмаған және қолдануға тыйым салынған пестицидтердің сақтау орындарынан алынған ауыз су үлгілері мен торырақтың сулы сығындысы құрамынан пестицидтердің адам қаны лимфоциттері дақылдарына мутагендік белсенділігін талдау // Вестник ЕНУ имени Л.Н. Гумилева. Серия: Химия. География. Экология,  2020 № 4(133) С. 65-76 DOI: </w:t>
      </w:r>
      <w:hyperlink r:id="rId14" w:history="1">
        <w:r w:rsidR="00FD1775" w:rsidRPr="00F52912">
          <w:rPr>
            <w:rStyle w:val="a6"/>
            <w:sz w:val="24"/>
            <w:szCs w:val="24"/>
            <w:lang w:val="kk-KZ"/>
          </w:rPr>
          <w:t>https://doi.org/10.32523/2616-6771-2020-133-4-</w:t>
        </w:r>
        <w:r w:rsidR="00FD1775" w:rsidRPr="00F52912">
          <w:rPr>
            <w:rStyle w:val="a6"/>
            <w:sz w:val="24"/>
            <w:szCs w:val="24"/>
          </w:rPr>
          <w:t>64</w:t>
        </w:r>
        <w:r w:rsidR="00FD1775" w:rsidRPr="00F52912">
          <w:rPr>
            <w:rStyle w:val="a6"/>
            <w:sz w:val="24"/>
            <w:szCs w:val="24"/>
            <w:lang w:val="kk-KZ"/>
          </w:rPr>
          <w:t>-</w:t>
        </w:r>
        <w:r w:rsidR="00FD1775" w:rsidRPr="00F52912">
          <w:rPr>
            <w:rStyle w:val="a6"/>
            <w:sz w:val="24"/>
            <w:szCs w:val="24"/>
          </w:rPr>
          <w:t>75</w:t>
        </w:r>
      </w:hyperlink>
      <w:r w:rsidR="00FD1775" w:rsidRPr="00F52912">
        <w:rPr>
          <w:sz w:val="24"/>
          <w:szCs w:val="24"/>
        </w:rPr>
        <w:t xml:space="preserve"> </w:t>
      </w:r>
    </w:p>
    <w:p w:rsidR="00F54FD1" w:rsidRPr="00F52912" w:rsidRDefault="00F54FD1" w:rsidP="00A80E4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Bakhtiyarova Sholpan, Zhaksymov Bolatbek, Kapysheva Unzira, </w:t>
      </w:r>
      <w:r w:rsidRPr="00F52912">
        <w:rPr>
          <w:sz w:val="24"/>
          <w:szCs w:val="24"/>
          <w:u w:val="single"/>
          <w:lang w:val="kk-KZ"/>
        </w:rPr>
        <w:t>Cherednichenko Oksana</w:t>
      </w:r>
      <w:r w:rsidRPr="00F52912">
        <w:rPr>
          <w:sz w:val="24"/>
          <w:szCs w:val="24"/>
          <w:lang w:val="kk-KZ"/>
        </w:rPr>
        <w:t xml:space="preserve"> Cytogenetic changes in schoolchildren residing in ecologically adverse regions of Кazakhstan Periodico Tche Quimica // 2020 (17), Vol.35, P. 1137-1147.  </w:t>
      </w:r>
      <w:hyperlink r:id="rId15" w:history="1">
        <w:r w:rsidR="00A80E4B" w:rsidRPr="00F52912">
          <w:rPr>
            <w:rStyle w:val="a6"/>
            <w:sz w:val="24"/>
            <w:szCs w:val="24"/>
            <w:lang w:val="kk-KZ"/>
          </w:rPr>
          <w:t>https://journals.indexcopernicus.com/api/file/viewByFileId/1023653.pdf</w:t>
        </w:r>
      </w:hyperlink>
      <w:r w:rsidR="00A80E4B" w:rsidRPr="00F52912">
        <w:rPr>
          <w:sz w:val="24"/>
          <w:szCs w:val="24"/>
        </w:rPr>
        <w:t xml:space="preserve"> Web of Science IF=0.2, Q4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Анарбекова А., Ж. Турсунова, Р. Мусабаев, И. Киселев, А. Гаршин, Н.К. Алтынова, </w:t>
      </w:r>
      <w:r w:rsidRPr="00F52912">
        <w:rPr>
          <w:sz w:val="24"/>
          <w:szCs w:val="24"/>
          <w:u w:val="single"/>
          <w:lang w:val="kk-KZ"/>
        </w:rPr>
        <w:t>О.Г. Чередниченко</w:t>
      </w:r>
      <w:r w:rsidRPr="00F52912">
        <w:rPr>
          <w:sz w:val="24"/>
          <w:szCs w:val="24"/>
          <w:lang w:val="kk-KZ"/>
        </w:rPr>
        <w:t>, Г.М. Абылкасымова, А. Сейсенбаева, Ж.А. Жаниязов, Э.М. Хусаинова, Л.Б. Джансугурова, Б.О. Бекманов Анализ генов детоксикации ксенобиотиков и репарации ДНК у населения, проживающего на территориях, загрязненных пестицидами Вестник КазНМУ, 2021, №2 С. 202-210.</w:t>
      </w:r>
    </w:p>
    <w:p w:rsidR="00F54FD1" w:rsidRPr="00F52912" w:rsidRDefault="00F54FD1" w:rsidP="00FD177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Cherednichenko, Oksana</w:t>
      </w:r>
      <w:r w:rsidRPr="00F52912">
        <w:rPr>
          <w:sz w:val="24"/>
          <w:szCs w:val="24"/>
          <w:lang w:val="kk-KZ"/>
        </w:rPr>
        <w:t xml:space="preserve">; Bakhtiyarova, Sholpan; Zhaksymov, Bolatbeck; Kapysheva, Unzira; Pilyugina, Anastassiya Karyological abnormalities in the buccal epithelium of the oral cavity of humans after COVID-19 // Periódico Tchê Química. 2022; vol.19 Р. 43-53. </w:t>
      </w:r>
      <w:hyperlink r:id="rId16" w:history="1">
        <w:r w:rsidR="00FD1775" w:rsidRPr="00F52912">
          <w:rPr>
            <w:rStyle w:val="a6"/>
            <w:sz w:val="24"/>
            <w:szCs w:val="24"/>
            <w:lang w:val="kk-KZ"/>
          </w:rPr>
          <w:t>https://doi.org/10.52571/PTQ.v19.n40.2022.05_ЧЕРЕДНИЧЕНКО_pgs_43_53.pdf</w:t>
        </w:r>
      </w:hyperlink>
      <w:r w:rsidR="00590B0D" w:rsidRPr="00F52912">
        <w:rPr>
          <w:sz w:val="24"/>
          <w:szCs w:val="24"/>
          <w:lang w:val="kk-KZ"/>
        </w:rPr>
        <w:t xml:space="preserve"> </w:t>
      </w:r>
      <w:r w:rsidR="00A80E4B" w:rsidRPr="00F52912">
        <w:rPr>
          <w:sz w:val="24"/>
          <w:szCs w:val="24"/>
        </w:rPr>
        <w:t>.</w:t>
      </w:r>
      <w:r w:rsidR="00A80E4B" w:rsidRPr="00F52912">
        <w:t xml:space="preserve"> </w:t>
      </w:r>
      <w:r w:rsidR="00A80E4B" w:rsidRPr="00F52912">
        <w:rPr>
          <w:sz w:val="24"/>
          <w:szCs w:val="24"/>
        </w:rPr>
        <w:t>Web of Science IF=0.2, Q4</w:t>
      </w:r>
    </w:p>
    <w:p w:rsidR="00F54FD1" w:rsidRPr="00F52912" w:rsidRDefault="00F54FD1" w:rsidP="00FD177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Cherednichenko O.G.,</w:t>
      </w:r>
      <w:r w:rsidRPr="00F52912">
        <w:rPr>
          <w:sz w:val="24"/>
          <w:szCs w:val="24"/>
          <w:lang w:val="kk-KZ"/>
        </w:rPr>
        <w:t xml:space="preserve"> N.V. Mit, I.N. Magda, A.L. B.O. Bekmanov, N.Sh. Mamilov, M.A. Chirikova, N.L. Nigai Ecological characteristics of the area and evaluation of  bioindicator species condition in Altyn Emel state national natural park // Вестник КарГУ, серия “Биология. Медицина. География”. 2022г. №4 (108). С. 148-163. </w:t>
      </w:r>
      <w:hyperlink r:id="rId17" w:history="1">
        <w:r w:rsidR="00FD1775" w:rsidRPr="00F52912">
          <w:rPr>
            <w:rStyle w:val="a6"/>
            <w:sz w:val="24"/>
            <w:szCs w:val="24"/>
            <w:lang w:val="kk-KZ"/>
          </w:rPr>
          <w:t>https://doi.org/10.31489/2022 BMG4/148-163</w:t>
        </w:r>
      </w:hyperlink>
      <w:r w:rsidRPr="00F52912">
        <w:rPr>
          <w:sz w:val="24"/>
          <w:szCs w:val="24"/>
          <w:lang w:val="kk-KZ"/>
        </w:rPr>
        <w:t>.</w:t>
      </w:r>
    </w:p>
    <w:p w:rsidR="00F54FD1" w:rsidRPr="00F52912" w:rsidRDefault="00F54FD1" w:rsidP="00FD177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Мить Н.В., </w:t>
      </w:r>
      <w:r w:rsidRPr="00F52912">
        <w:rPr>
          <w:sz w:val="24"/>
          <w:szCs w:val="24"/>
          <w:u w:val="single"/>
          <w:lang w:val="kk-KZ"/>
        </w:rPr>
        <w:t>О.Г. Чередниченко,</w:t>
      </w:r>
      <w:r w:rsidRPr="00F52912">
        <w:rPr>
          <w:sz w:val="24"/>
          <w:szCs w:val="24"/>
          <w:lang w:val="kk-KZ"/>
        </w:rPr>
        <w:t xml:space="preserve"> А.С. Мусаева, О.Х. Хамдиева, А.С. Амиргалиева, М.О. Бегманова, А.Д. Толебаева, А.Л. Пилюгина, С.К. Нуралиев, С.Б. Зайпанова, Г.А. Койшекенова, А.К. Бекитаева, Т. Қапасұлы Оценка мутагенного эффекта проб воды и почвы, собранных вблизи бывших хранилищ хлорорганических пестицидов в Жамбылском районе Алматинской области с использованием различных модельных тест-систем// Вестник КарГУ, серия “Биология. Медицина. География”. 2023г. №1 (109). С. 84-97. </w:t>
      </w:r>
      <w:r w:rsidR="00FD1775" w:rsidRPr="00F52912">
        <w:rPr>
          <w:sz w:val="24"/>
          <w:szCs w:val="24"/>
          <w:lang w:val="kk-KZ"/>
        </w:rPr>
        <w:fldChar w:fldCharType="begin"/>
      </w:r>
      <w:r w:rsidR="00FD1775" w:rsidRPr="00F52912">
        <w:rPr>
          <w:sz w:val="24"/>
          <w:szCs w:val="24"/>
          <w:lang w:val="kk-KZ"/>
        </w:rPr>
        <w:instrText xml:space="preserve"> HYPERLINK "https://doi.org/10.31489/2023BMG1/84-97" </w:instrText>
      </w:r>
      <w:r w:rsidR="00FD1775" w:rsidRPr="00F52912">
        <w:rPr>
          <w:sz w:val="24"/>
          <w:szCs w:val="24"/>
          <w:lang w:val="kk-KZ"/>
        </w:rPr>
        <w:fldChar w:fldCharType="separate"/>
      </w:r>
      <w:r w:rsidR="00FD1775" w:rsidRPr="00F52912">
        <w:rPr>
          <w:rStyle w:val="a6"/>
          <w:sz w:val="24"/>
          <w:szCs w:val="24"/>
          <w:lang w:val="kk-KZ"/>
        </w:rPr>
        <w:t>https://doi.org/10.31489/2023BMG1/84-97</w:t>
      </w:r>
      <w:r w:rsidR="00FD1775" w:rsidRPr="00F52912">
        <w:rPr>
          <w:sz w:val="24"/>
          <w:szCs w:val="24"/>
          <w:lang w:val="kk-KZ"/>
        </w:rPr>
        <w:fldChar w:fldCharType="end"/>
      </w:r>
      <w:r w:rsidRPr="00F52912">
        <w:rPr>
          <w:sz w:val="24"/>
          <w:szCs w:val="24"/>
          <w:lang w:val="kk-KZ"/>
        </w:rPr>
        <w:t>.</w:t>
      </w:r>
    </w:p>
    <w:p w:rsidR="00F54FD1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t xml:space="preserve">Altynova N.K., A.A. Garshin, E.D. Dzhangalina, </w:t>
      </w:r>
      <w:r w:rsidRPr="00F52912">
        <w:rPr>
          <w:sz w:val="24"/>
          <w:szCs w:val="24"/>
          <w:u w:val="single"/>
          <w:lang w:val="kk-KZ"/>
        </w:rPr>
        <w:t>O.G. Cherednichenko</w:t>
      </w:r>
      <w:r w:rsidRPr="00F52912">
        <w:rPr>
          <w:sz w:val="24"/>
          <w:szCs w:val="24"/>
          <w:lang w:val="kk-KZ"/>
        </w:rPr>
        <w:t xml:space="preserve">, N.V. Mit, Әpinhan A., A.S. Amirgalieva, A. Seisenbaeva, G. Abylkasymova, E.M. Khussainova, L.B. Dzhansugurova Сytogenetic analysis of the population living in close proximity to the destroyed warehouses of banned pesticides // Вестник КазНУ им.аль-Фараби. Экология сериясы. №1 (74). 2023 DOI: </w:t>
      </w:r>
      <w:hyperlink r:id="rId18" w:history="1">
        <w:r w:rsidR="00EA469D" w:rsidRPr="00F52912">
          <w:rPr>
            <w:rStyle w:val="a6"/>
            <w:sz w:val="24"/>
            <w:szCs w:val="24"/>
            <w:lang w:val="kk-KZ"/>
          </w:rPr>
          <w:t>https://doi.org/10.26577/EJE.2023.v74.i1.05</w:t>
        </w:r>
      </w:hyperlink>
    </w:p>
    <w:p w:rsidR="00F54FD1" w:rsidRPr="00F52912" w:rsidRDefault="00F54FD1" w:rsidP="00FD177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kk-KZ"/>
        </w:rPr>
        <w:lastRenderedPageBreak/>
        <w:t xml:space="preserve">Mansurov ZA, Kurmanbekov AS, Nazhipkyzy M, Kapysheva UN and </w:t>
      </w:r>
      <w:r w:rsidRPr="00F52912">
        <w:rPr>
          <w:sz w:val="24"/>
          <w:szCs w:val="24"/>
          <w:u w:val="single"/>
          <w:lang w:val="kk-KZ"/>
        </w:rPr>
        <w:t>Cherednichenko OG</w:t>
      </w:r>
      <w:r w:rsidRPr="00F52912">
        <w:rPr>
          <w:sz w:val="24"/>
          <w:szCs w:val="24"/>
          <w:lang w:val="kk-KZ"/>
        </w:rPr>
        <w:t xml:space="preserve"> COVID-19 Spread Chain Reactions // Research in Medical &amp; Engineering Sciences, 2024  Volume 10 - Issue 5, Р 1135-1142. </w:t>
      </w:r>
      <w:hyperlink r:id="rId19" w:history="1">
        <w:r w:rsidR="00FD1775" w:rsidRPr="00F52912">
          <w:rPr>
            <w:rStyle w:val="a6"/>
            <w:sz w:val="24"/>
            <w:szCs w:val="24"/>
            <w:lang w:val="kk-KZ"/>
          </w:rPr>
          <w:t>http://dx.doi.org/10.31031/rmes.2024.10.000748</w:t>
        </w:r>
      </w:hyperlink>
      <w:r w:rsidR="00FD1775" w:rsidRPr="00F52912">
        <w:rPr>
          <w:sz w:val="24"/>
          <w:szCs w:val="24"/>
        </w:rPr>
        <w:t xml:space="preserve"> </w:t>
      </w:r>
      <w:r w:rsidR="00FD1775" w:rsidRPr="00F52912">
        <w:rPr>
          <w:sz w:val="24"/>
          <w:szCs w:val="24"/>
          <w:lang w:val="kk-KZ"/>
        </w:rPr>
        <w:t xml:space="preserve"> </w:t>
      </w:r>
      <w:r w:rsidR="00EA469D" w:rsidRPr="00F52912">
        <w:rPr>
          <w:sz w:val="24"/>
          <w:szCs w:val="24"/>
          <w:lang w:val="kk-KZ"/>
        </w:rPr>
        <w:t>(</w:t>
      </w:r>
      <w:proofErr w:type="spellStart"/>
      <w:r w:rsidR="00FD1775" w:rsidRPr="00F52912">
        <w:rPr>
          <w:sz w:val="24"/>
          <w:szCs w:val="24"/>
        </w:rPr>
        <w:t>Publons</w:t>
      </w:r>
      <w:proofErr w:type="spellEnd"/>
      <w:r w:rsidR="00FD1775" w:rsidRPr="00F52912">
        <w:rPr>
          <w:sz w:val="24"/>
          <w:szCs w:val="24"/>
        </w:rPr>
        <w:t xml:space="preserve">, </w:t>
      </w:r>
      <w:proofErr w:type="spellStart"/>
      <w:r w:rsidR="00FD1775" w:rsidRPr="00F52912">
        <w:rPr>
          <w:sz w:val="24"/>
          <w:szCs w:val="24"/>
        </w:rPr>
        <w:t>Crossref</w:t>
      </w:r>
      <w:proofErr w:type="spellEnd"/>
      <w:r w:rsidR="00FD1775" w:rsidRPr="00F52912">
        <w:rPr>
          <w:sz w:val="24"/>
          <w:szCs w:val="24"/>
        </w:rPr>
        <w:t xml:space="preserve">, ICMJE at </w:t>
      </w:r>
      <w:proofErr w:type="spellStart"/>
      <w:r w:rsidR="00FD1775" w:rsidRPr="00F52912">
        <w:rPr>
          <w:sz w:val="24"/>
          <w:szCs w:val="24"/>
        </w:rPr>
        <w:t>al</w:t>
      </w:r>
      <w:proofErr w:type="spellEnd"/>
      <w:r w:rsidR="00FD1775" w:rsidRPr="00F52912">
        <w:rPr>
          <w:sz w:val="24"/>
          <w:szCs w:val="24"/>
        </w:rPr>
        <w:t>)</w:t>
      </w:r>
    </w:p>
    <w:p w:rsidR="00EA469D" w:rsidRPr="00F52912" w:rsidRDefault="00F54FD1" w:rsidP="004A74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Нуралиев С.К., Пилюгина А.Л., Азизбекова Д.Э. Сравнительный анализ эффективности использования растительной тест-системы Аllium cepa для оценки радиационного воздействии // Вестник КазНУ, серия биологическая №1(98)2024 С 98-109 </w:t>
      </w:r>
      <w:r w:rsidR="00762885" w:rsidRPr="00F52912">
        <w:fldChar w:fldCharType="begin"/>
      </w:r>
      <w:r w:rsidR="00762885" w:rsidRPr="00F52912">
        <w:rPr>
          <w:lang w:val="ru-RU"/>
        </w:rPr>
        <w:instrText xml:space="preserve"> </w:instrText>
      </w:r>
      <w:r w:rsidR="00762885" w:rsidRPr="00F52912">
        <w:instrText>HYPERLINK</w:instrText>
      </w:r>
      <w:r w:rsidR="00762885" w:rsidRPr="00F52912">
        <w:rPr>
          <w:lang w:val="ru-RU"/>
        </w:rPr>
        <w:instrText xml:space="preserve"> "</w:instrText>
      </w:r>
      <w:r w:rsidR="00762885" w:rsidRPr="00F52912">
        <w:instrText>https</w:instrText>
      </w:r>
      <w:r w:rsidR="00762885" w:rsidRPr="00F52912">
        <w:rPr>
          <w:lang w:val="ru-RU"/>
        </w:rPr>
        <w:instrText>://</w:instrText>
      </w:r>
      <w:r w:rsidR="00762885" w:rsidRPr="00F52912">
        <w:instrText>doi</w:instrText>
      </w:r>
      <w:r w:rsidR="00762885" w:rsidRPr="00F52912">
        <w:rPr>
          <w:lang w:val="ru-RU"/>
        </w:rPr>
        <w:instrText>.</w:instrText>
      </w:r>
      <w:r w:rsidR="00762885" w:rsidRPr="00F52912">
        <w:instrText>org</w:instrText>
      </w:r>
      <w:r w:rsidR="00762885" w:rsidRPr="00F52912">
        <w:rPr>
          <w:lang w:val="ru-RU"/>
        </w:rPr>
        <w:instrText>/10.26577/</w:instrText>
      </w:r>
      <w:r w:rsidR="00762885" w:rsidRPr="00F52912">
        <w:instrText>eb</w:instrText>
      </w:r>
      <w:r w:rsidR="00762885" w:rsidRPr="00F52912">
        <w:rPr>
          <w:lang w:val="ru-RU"/>
        </w:rPr>
        <w:instrText>.2024.</w:instrText>
      </w:r>
      <w:r w:rsidR="00762885" w:rsidRPr="00F52912">
        <w:instrText>v</w:instrText>
      </w:r>
      <w:r w:rsidR="00762885" w:rsidRPr="00F52912">
        <w:rPr>
          <w:lang w:val="ru-RU"/>
        </w:rPr>
        <w:instrText>98.</w:instrText>
      </w:r>
      <w:r w:rsidR="00762885" w:rsidRPr="00F52912">
        <w:instrText>i</w:instrText>
      </w:r>
      <w:r w:rsidR="00762885" w:rsidRPr="00F52912">
        <w:rPr>
          <w:lang w:val="ru-RU"/>
        </w:rPr>
        <w:instrText xml:space="preserve">1.09" </w:instrText>
      </w:r>
      <w:r w:rsidR="00762885" w:rsidRPr="00F52912">
        <w:fldChar w:fldCharType="separate"/>
      </w:r>
      <w:r w:rsidR="00EA469D" w:rsidRPr="00F52912">
        <w:rPr>
          <w:rStyle w:val="a6"/>
          <w:sz w:val="24"/>
          <w:szCs w:val="24"/>
          <w:lang w:val="kk-KZ"/>
        </w:rPr>
        <w:t>https://doi.org/10.26577/eb.2024.v98.i1.09</w:t>
      </w:r>
      <w:r w:rsidR="00762885" w:rsidRPr="00F52912">
        <w:rPr>
          <w:rStyle w:val="a6"/>
          <w:sz w:val="24"/>
          <w:szCs w:val="24"/>
          <w:lang w:val="kk-KZ"/>
        </w:rPr>
        <w:fldChar w:fldCharType="end"/>
      </w:r>
    </w:p>
    <w:p w:rsidR="00FD1775" w:rsidRPr="00F52912" w:rsidRDefault="00F54FD1" w:rsidP="00FD177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F52912">
        <w:rPr>
          <w:sz w:val="24"/>
          <w:szCs w:val="24"/>
          <w:u w:val="single"/>
          <w:lang w:val="kk-KZ"/>
        </w:rPr>
        <w:t>Чередниченко О.Г.,</w:t>
      </w:r>
      <w:r w:rsidRPr="00F52912">
        <w:rPr>
          <w:sz w:val="24"/>
          <w:szCs w:val="24"/>
          <w:lang w:val="kk-KZ"/>
        </w:rPr>
        <w:t xml:space="preserve"> Демченко Г.А., Капышева У.Н., Бахтиярова Ш.К., Пилюгина А.Л., Кожаниязова У.Н., Жаксымов Б.И., Койбасова Л.У. Иммунологический и цитогенетический статус относительно здоровых жителей г. Алматы и Алматинской области в динамике // Наука и здравоохранение, №26(3), С. 40-53. </w:t>
      </w:r>
      <w:hyperlink r:id="rId20" w:history="1">
        <w:r w:rsidR="00FD1775" w:rsidRPr="00F52912">
          <w:rPr>
            <w:rStyle w:val="a6"/>
            <w:sz w:val="24"/>
            <w:szCs w:val="24"/>
            <w:lang w:val="kk-KZ"/>
          </w:rPr>
          <w:t>http://dx.doi.org/10.34689/SH.2024.26.3.005</w:t>
        </w:r>
      </w:hyperlink>
    </w:p>
    <w:p w:rsidR="00EA469D" w:rsidRPr="00F52912" w:rsidRDefault="00A80E4B" w:rsidP="00A80E4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color w:val="auto"/>
          <w:sz w:val="24"/>
          <w:szCs w:val="24"/>
          <w:u w:val="none"/>
          <w:lang w:val="ru-RU"/>
        </w:rPr>
      </w:pPr>
      <w:r w:rsidRPr="00F52912">
        <w:rPr>
          <w:sz w:val="24"/>
          <w:szCs w:val="24"/>
          <w:u w:val="single"/>
          <w:lang w:val="ru-RU"/>
        </w:rPr>
        <w:t>Чередниченко О.Г.,</w:t>
      </w:r>
      <w:r w:rsidRPr="00F52912">
        <w:rPr>
          <w:sz w:val="24"/>
          <w:szCs w:val="24"/>
          <w:lang w:val="ru-RU"/>
        </w:rPr>
        <w:t xml:space="preserve"> Азизбекова Д.Э., Пилюгина А.Л., </w:t>
      </w:r>
      <w:proofErr w:type="spellStart"/>
      <w:r w:rsidRPr="00F52912">
        <w:rPr>
          <w:sz w:val="24"/>
          <w:szCs w:val="24"/>
          <w:lang w:val="ru-RU"/>
        </w:rPr>
        <w:t>Амиргалиева</w:t>
      </w:r>
      <w:proofErr w:type="spellEnd"/>
      <w:r w:rsidRPr="00F52912">
        <w:rPr>
          <w:sz w:val="24"/>
          <w:szCs w:val="24"/>
          <w:lang w:val="ru-RU"/>
        </w:rPr>
        <w:t xml:space="preserve"> А.С. Сравнительная оценка нестабильности генома у казахских собак породы </w:t>
      </w:r>
      <w:proofErr w:type="spellStart"/>
      <w:r w:rsidRPr="00F52912">
        <w:rPr>
          <w:sz w:val="24"/>
          <w:szCs w:val="24"/>
          <w:lang w:val="ru-RU"/>
        </w:rPr>
        <w:t>Тобет</w:t>
      </w:r>
      <w:proofErr w:type="spellEnd"/>
      <w:r w:rsidRPr="00F52912">
        <w:rPr>
          <w:sz w:val="24"/>
          <w:szCs w:val="24"/>
          <w:lang w:val="ru-RU"/>
        </w:rPr>
        <w:t xml:space="preserve"> и аутбредных собак с использованием не инвазивного метода // 3</w:t>
      </w:r>
      <w:proofErr w:type="spellStart"/>
      <w:r w:rsidRPr="00F52912">
        <w:rPr>
          <w:sz w:val="24"/>
          <w:szCs w:val="24"/>
        </w:rPr>
        <w:t>i</w:t>
      </w:r>
      <w:proofErr w:type="spellEnd"/>
      <w:r w:rsidRPr="00F52912">
        <w:rPr>
          <w:sz w:val="24"/>
          <w:szCs w:val="24"/>
          <w:lang w:val="ru-RU"/>
        </w:rPr>
        <w:t xml:space="preserve">, №1, 2025. С. 93-102. </w:t>
      </w:r>
      <w:hyperlink r:id="rId21" w:history="1">
        <w:r w:rsidR="00EA469D" w:rsidRPr="00F52912">
          <w:rPr>
            <w:rStyle w:val="a6"/>
            <w:sz w:val="24"/>
            <w:szCs w:val="24"/>
          </w:rPr>
          <w:t>https</w:t>
        </w:r>
        <w:r w:rsidR="00EA469D" w:rsidRPr="00F52912">
          <w:rPr>
            <w:rStyle w:val="a6"/>
            <w:sz w:val="24"/>
            <w:szCs w:val="24"/>
            <w:lang w:val="ru-RU"/>
          </w:rPr>
          <w:t>://</w:t>
        </w:r>
        <w:r w:rsidR="00EA469D" w:rsidRPr="00F52912">
          <w:rPr>
            <w:rStyle w:val="a6"/>
            <w:sz w:val="24"/>
            <w:szCs w:val="24"/>
          </w:rPr>
          <w:t>doi</w:t>
        </w:r>
        <w:r w:rsidR="00EA469D" w:rsidRPr="00F52912">
          <w:rPr>
            <w:rStyle w:val="a6"/>
            <w:sz w:val="24"/>
            <w:szCs w:val="24"/>
            <w:lang w:val="ru-RU"/>
          </w:rPr>
          <w:t>.</w:t>
        </w:r>
        <w:r w:rsidR="00EA469D" w:rsidRPr="00F52912">
          <w:rPr>
            <w:rStyle w:val="a6"/>
            <w:sz w:val="24"/>
            <w:szCs w:val="24"/>
          </w:rPr>
          <w:t>org</w:t>
        </w:r>
        <w:r w:rsidR="00EA469D" w:rsidRPr="00F52912">
          <w:rPr>
            <w:rStyle w:val="a6"/>
            <w:sz w:val="24"/>
            <w:szCs w:val="24"/>
            <w:lang w:val="ru-RU"/>
          </w:rPr>
          <w:t>/10.52269/22266070_2025_1_93</w:t>
        </w:r>
      </w:hyperlink>
    </w:p>
    <w:p w:rsidR="00EB0311" w:rsidRPr="00F52912" w:rsidRDefault="00EB0311" w:rsidP="00EB031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F52912">
        <w:rPr>
          <w:sz w:val="24"/>
          <w:szCs w:val="24"/>
          <w:u w:val="single"/>
          <w:lang w:val="ru-RU"/>
        </w:rPr>
        <w:t>Cherednichenko</w:t>
      </w:r>
      <w:proofErr w:type="spellEnd"/>
      <w:r w:rsidRPr="00F52912">
        <w:rPr>
          <w:sz w:val="24"/>
          <w:szCs w:val="24"/>
          <w:u w:val="single"/>
          <w:lang w:val="ru-RU"/>
        </w:rPr>
        <w:t>, O.G.,</w:t>
      </w:r>
      <w:r w:rsidRPr="00F52912">
        <w:rPr>
          <w:sz w:val="24"/>
          <w:szCs w:val="24"/>
          <w:lang w:val="ru-RU"/>
        </w:rPr>
        <w:t xml:space="preserve"> A.L. </w:t>
      </w:r>
      <w:proofErr w:type="spellStart"/>
      <w:r w:rsidRPr="00F52912">
        <w:rPr>
          <w:sz w:val="24"/>
          <w:szCs w:val="24"/>
          <w:lang w:val="ru-RU"/>
        </w:rPr>
        <w:t>Pilyugina</w:t>
      </w:r>
      <w:proofErr w:type="spellEnd"/>
      <w:r w:rsidRPr="00F52912">
        <w:rPr>
          <w:sz w:val="24"/>
          <w:szCs w:val="24"/>
          <w:lang w:val="ru-RU"/>
        </w:rPr>
        <w:t xml:space="preserve">, D.E. </w:t>
      </w:r>
      <w:proofErr w:type="spellStart"/>
      <w:r w:rsidRPr="00F52912">
        <w:rPr>
          <w:sz w:val="24"/>
          <w:szCs w:val="24"/>
          <w:lang w:val="ru-RU"/>
        </w:rPr>
        <w:t>Azizbekova</w:t>
      </w:r>
      <w:proofErr w:type="spellEnd"/>
      <w:r w:rsidRPr="00F52912">
        <w:rPr>
          <w:sz w:val="24"/>
          <w:szCs w:val="24"/>
          <w:lang w:val="ru-RU"/>
        </w:rPr>
        <w:t xml:space="preserve">, A.S. </w:t>
      </w:r>
      <w:proofErr w:type="spellStart"/>
      <w:r w:rsidRPr="00F52912">
        <w:rPr>
          <w:sz w:val="24"/>
          <w:szCs w:val="24"/>
          <w:lang w:val="ru-RU"/>
        </w:rPr>
        <w:t>Amirgaliyeva</w:t>
      </w:r>
      <w:proofErr w:type="spellEnd"/>
      <w:r w:rsidRPr="00F52912">
        <w:rPr>
          <w:sz w:val="24"/>
          <w:szCs w:val="24"/>
          <w:lang w:val="ru-RU"/>
        </w:rPr>
        <w:t xml:space="preserve">, </w:t>
      </w:r>
      <w:proofErr w:type="spellStart"/>
      <w:r w:rsidRPr="00F52912">
        <w:rPr>
          <w:sz w:val="24"/>
          <w:szCs w:val="24"/>
          <w:lang w:val="ru-RU"/>
        </w:rPr>
        <w:t>and</w:t>
      </w:r>
      <w:proofErr w:type="spellEnd"/>
      <w:r w:rsidRPr="00F52912">
        <w:rPr>
          <w:sz w:val="24"/>
          <w:szCs w:val="24"/>
          <w:lang w:val="ru-RU"/>
        </w:rPr>
        <w:t xml:space="preserve"> K.B. </w:t>
      </w:r>
      <w:proofErr w:type="spellStart"/>
      <w:r w:rsidRPr="00F52912">
        <w:rPr>
          <w:sz w:val="24"/>
          <w:szCs w:val="24"/>
          <w:lang w:val="ru-RU"/>
        </w:rPr>
        <w:t>Bespalova</w:t>
      </w:r>
      <w:proofErr w:type="spellEnd"/>
      <w:r w:rsidRPr="00F52912">
        <w:rPr>
          <w:sz w:val="24"/>
          <w:szCs w:val="24"/>
          <w:lang w:val="ru-RU"/>
        </w:rPr>
        <w:t xml:space="preserve">. </w:t>
      </w:r>
      <w:r w:rsidRPr="00F52912">
        <w:rPr>
          <w:sz w:val="24"/>
          <w:szCs w:val="24"/>
        </w:rPr>
        <w:t xml:space="preserve">2025. “Genomic Stability and Adaptation in Kazakh </w:t>
      </w:r>
      <w:proofErr w:type="spellStart"/>
      <w:r w:rsidRPr="00F52912">
        <w:rPr>
          <w:sz w:val="24"/>
          <w:szCs w:val="24"/>
        </w:rPr>
        <w:t>Tobet</w:t>
      </w:r>
      <w:proofErr w:type="spellEnd"/>
      <w:r w:rsidRPr="00F52912">
        <w:rPr>
          <w:sz w:val="24"/>
          <w:szCs w:val="24"/>
        </w:rPr>
        <w:t xml:space="preserve"> Dogs: A Cytogenetic Analysis”. International Journal of Biology and Chemistry 18 (1). </w:t>
      </w:r>
      <w:r w:rsidR="00FF5B71" w:rsidRPr="00F52912">
        <w:rPr>
          <w:sz w:val="24"/>
          <w:szCs w:val="24"/>
        </w:rPr>
        <w:t xml:space="preserve">P. 17-24 </w:t>
      </w:r>
      <w:hyperlink r:id="rId22" w:history="1">
        <w:r w:rsidR="00096C24" w:rsidRPr="00F52912">
          <w:rPr>
            <w:rStyle w:val="a6"/>
            <w:sz w:val="24"/>
            <w:szCs w:val="24"/>
          </w:rPr>
          <w:t>https://doi.org/10.26577/IJBCh20251812</w:t>
        </w:r>
      </w:hyperlink>
      <w:r w:rsidRPr="00F52912">
        <w:rPr>
          <w:sz w:val="24"/>
          <w:szCs w:val="24"/>
        </w:rPr>
        <w:t>.</w:t>
      </w:r>
      <w:r w:rsidR="00630F55" w:rsidRPr="00314981">
        <w:rPr>
          <w:sz w:val="24"/>
          <w:szCs w:val="24"/>
        </w:rPr>
        <w:t xml:space="preserve"> </w:t>
      </w:r>
      <w:r w:rsidR="00630F55" w:rsidRPr="00F52912">
        <w:rPr>
          <w:sz w:val="24"/>
          <w:szCs w:val="24"/>
        </w:rPr>
        <w:t>Q4</w:t>
      </w:r>
    </w:p>
    <w:p w:rsidR="00590B0D" w:rsidRPr="00F52912" w:rsidRDefault="00590B0D" w:rsidP="00F54FD1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:rsidR="009139CD" w:rsidRPr="00F52912" w:rsidRDefault="009139CD" w:rsidP="00F54FD1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:rsidR="009139CD" w:rsidRPr="00F52912" w:rsidRDefault="009139CD" w:rsidP="00F54FD1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F52912">
        <w:rPr>
          <w:b/>
          <w:sz w:val="24"/>
          <w:szCs w:val="24"/>
          <w:lang w:val="ru-RU" w:eastAsia="ru-RU"/>
        </w:rPr>
        <w:t xml:space="preserve">Статьи </w:t>
      </w:r>
      <w:r w:rsidR="007A1D1C" w:rsidRPr="00F52912">
        <w:rPr>
          <w:b/>
          <w:sz w:val="24"/>
          <w:szCs w:val="24"/>
          <w:lang w:val="ru-RU" w:eastAsia="ru-RU"/>
        </w:rPr>
        <w:t xml:space="preserve">(избранные) </w:t>
      </w:r>
      <w:r w:rsidRPr="00F52912">
        <w:rPr>
          <w:b/>
          <w:sz w:val="24"/>
          <w:szCs w:val="24"/>
          <w:lang w:val="ru-RU" w:eastAsia="ru-RU"/>
        </w:rPr>
        <w:t>в зарубежных изданиях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  <w:lang w:eastAsia="ar-SA"/>
        </w:rPr>
      </w:pP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O. 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EG.,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Bitenova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MM.,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Lukashenko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SN.,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AL. Assessment of occupational exposure and individual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radiosensitivity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in people exposed to radiation using methods of physical and biological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dosimetry</w:t>
      </w:r>
      <w:proofErr w:type="spellEnd"/>
      <w:r w:rsidRPr="00D51F2E">
        <w:rPr>
          <w:rFonts w:eastAsia="Calibri"/>
          <w:sz w:val="24"/>
          <w:szCs w:val="24"/>
          <w:lang w:eastAsia="ar-SA"/>
        </w:rPr>
        <w:t>// Ecology &amp; Safety, V. 8, 2014, P. 487-495.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ind w:left="0" w:firstLine="567"/>
        <w:contextualSpacing/>
        <w:rPr>
          <w:rFonts w:eastAsia="Calibri"/>
          <w:sz w:val="24"/>
          <w:szCs w:val="24"/>
          <w:lang w:eastAsia="ar-SA"/>
        </w:rPr>
      </w:pP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O. 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EG.,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Bitenova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MM.,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Lukashenko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SN.,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AL. Cytogenetic survey of people from the region of Semipalatinsk nuclear test site// Ecology &amp; Safety, V. 8, 2014, P. 496-503.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D51F2E">
        <w:rPr>
          <w:rFonts w:eastAsia="Calibri"/>
          <w:sz w:val="24"/>
          <w:szCs w:val="24"/>
          <w:lang w:eastAsia="ar-SA"/>
        </w:rPr>
        <w:t xml:space="preserve">Oksana G.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Anastasia L.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Pilyugina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Sergey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N.Lukashenko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Elena G.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Assessment of Occupational Exposure and Individual Radio-Sensitivity in People Subjected to Ionizing Radiation //World Academy of Science, Engineering and Technology, 2017, P. 2087-2093. </w:t>
      </w:r>
      <w:r w:rsidRPr="00D51F2E">
        <w:rPr>
          <w:rFonts w:ascii="Arial" w:eastAsiaTheme="minorHAnsi" w:hAnsi="Arial" w:cs="Arial"/>
          <w:b/>
          <w:bCs/>
          <w:color w:val="212529"/>
          <w:shd w:val="clear" w:color="auto" w:fill="FFFFFF"/>
        </w:rPr>
        <w:t> </w:t>
      </w:r>
      <w:hyperlink r:id="rId23" w:tgtFrame="_blank" w:history="1">
        <w:r w:rsidRPr="00D51F2E">
          <w:rPr>
            <w:rFonts w:eastAsiaTheme="minorHAnsi"/>
            <w:color w:val="0056B3"/>
            <w:sz w:val="24"/>
            <w:szCs w:val="24"/>
            <w:u w:val="single"/>
            <w:shd w:val="clear" w:color="auto" w:fill="FFFFFF"/>
          </w:rPr>
          <w:t>doi.org/10.5281/zenodo.1131489</w:t>
        </w:r>
      </w:hyperlink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O. 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E.G.,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Pilyugina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A.L.,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Lukashenko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S.N. Comparative analysis of calculation of individual accumulated doses by methods of physical and biological dosage measurement// European Journal of Biomedical and Life Sciences 2016. №3. </w:t>
      </w:r>
      <w:r w:rsidRPr="00D51F2E">
        <w:rPr>
          <w:rFonts w:eastAsia="Calibri"/>
          <w:sz w:val="24"/>
          <w:szCs w:val="24"/>
          <w:lang w:val="ru-RU" w:eastAsia="ar-SA"/>
        </w:rPr>
        <w:t>Р</w:t>
      </w:r>
      <w:r w:rsidRPr="00D51F2E">
        <w:rPr>
          <w:rFonts w:eastAsia="Calibri"/>
          <w:sz w:val="24"/>
          <w:szCs w:val="24"/>
          <w:lang w:eastAsia="ar-SA"/>
        </w:rPr>
        <w:t xml:space="preserve">.49-52. DOI:10.20534/ELBLS-16-3-49-52 </w:t>
      </w:r>
      <w:hyperlink r:id="rId24" w:history="1">
        <w:r w:rsidRPr="00F52912">
          <w:rPr>
            <w:rFonts w:eastAsia="Calibri"/>
            <w:color w:val="0000FF" w:themeColor="hyperlink"/>
            <w:sz w:val="24"/>
            <w:szCs w:val="24"/>
            <w:u w:val="single"/>
            <w:lang w:eastAsia="ar-SA"/>
          </w:rPr>
          <w:t>http://ppublishing.org/ru/journals/398/issue/12786/articles/2693/</w:t>
        </w:r>
      </w:hyperlink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O.G.,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Pilyugina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A.L.,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E.G. Evaluation  of radiation  exposure  on the  population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Dolon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region Semipalatinsk test site physical  and  biological 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dosimetry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 methods  taking  into account the individual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radiosensitivity</w:t>
      </w:r>
      <w:proofErr w:type="spellEnd"/>
      <w:r w:rsidRPr="00D51F2E">
        <w:rPr>
          <w:rFonts w:eastAsia="Calibri"/>
          <w:sz w:val="24"/>
          <w:szCs w:val="24"/>
          <w:lang w:eastAsia="ar-SA"/>
        </w:rPr>
        <w:t>// Ecology &amp; Safety, 2017, vol.11, pp.264-274. https://www.scientific-publications.net/ru/article/1001373/</w:t>
      </w:r>
    </w:p>
    <w:p w:rsidR="00D51F2E" w:rsidRPr="00F52912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O.G., I.N. Magda, A.L.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Pilyugina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E.G.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Gubitskaya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L.B.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Dzhansugurova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Assessment of the genetic status of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ichthyofauna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in Kazakh part of the Caspian Sea region using micronucleus test // Ecology &amp; Safety, 2017, vol.11, pp.255-263. </w:t>
      </w:r>
      <w:hyperlink r:id="rId25" w:history="1">
        <w:r w:rsidRPr="00F52912">
          <w:rPr>
            <w:rFonts w:eastAsia="Calibri"/>
            <w:color w:val="0000FF" w:themeColor="hyperlink"/>
            <w:sz w:val="24"/>
            <w:szCs w:val="24"/>
            <w:u w:val="single"/>
            <w:lang w:eastAsia="ar-SA"/>
          </w:rPr>
          <w:t>https://www.scientific-publications.net/ru/article/1001372/</w:t>
        </w:r>
      </w:hyperlink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D51F2E">
        <w:rPr>
          <w:rFonts w:eastAsia="Calibri"/>
          <w:sz w:val="24"/>
          <w:szCs w:val="24"/>
          <w:lang w:eastAsia="ar-SA"/>
        </w:rPr>
        <w:lastRenderedPageBreak/>
        <w:t xml:space="preserve">Oksana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Сherednichenko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S.Nuraliev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B.Bekmanov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A.Pilugina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L.Dzhansugurova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and G.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Baigushikova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Assessment of the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genotoxicity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of water and soil in the places of storage of reserves of old pesticides by Allium-test // E3S Web of Conferences 169, 01012 (2020) DOI https://doi.org/10.1051/e3sconf/202016901012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D51F2E">
        <w:rPr>
          <w:rFonts w:eastAsia="Calibri"/>
          <w:sz w:val="24"/>
          <w:szCs w:val="24"/>
          <w:lang w:eastAsia="ar-SA"/>
        </w:rPr>
        <w:t xml:space="preserve">Oksana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Cherednichenko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Serikbay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Nuraliev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Galym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Berkinbaev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Natalia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Yakovleva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Yerlan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Sadvakasov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Anastassiya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Pilugina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and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Gulnara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Baigushikova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Studying the mutagenic activity of drinking water and soil samples selected from </w:t>
      </w:r>
      <w:proofErr w:type="spellStart"/>
      <w:r w:rsidRPr="00D51F2E">
        <w:rPr>
          <w:rFonts w:eastAsia="Calibri"/>
          <w:sz w:val="24"/>
          <w:szCs w:val="24"/>
          <w:lang w:eastAsia="ar-SA"/>
        </w:rPr>
        <w:t>Kentau</w:t>
      </w:r>
      <w:proofErr w:type="spellEnd"/>
      <w:r w:rsidRPr="00D51F2E">
        <w:rPr>
          <w:rFonts w:eastAsia="Calibri"/>
          <w:sz w:val="24"/>
          <w:szCs w:val="24"/>
          <w:lang w:eastAsia="ar-SA"/>
        </w:rPr>
        <w:t xml:space="preserve"> and adjacent territories. E3S Web of Conferences Vol. 265 (2021) Actual Problems of Ecology and Environmental Management (APEEM 2021) Moscow, Russia, DOI: https://doi.org/10.1051/e3sconf/202126505001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proofErr w:type="spellStart"/>
      <w:r w:rsidRPr="00D51F2E">
        <w:rPr>
          <w:rFonts w:eastAsia="Calibri"/>
          <w:sz w:val="24"/>
          <w:szCs w:val="24"/>
          <w:lang w:val="ru-RU" w:eastAsia="ar-SA"/>
        </w:rPr>
        <w:t>Бакенова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О.Ж., Чередниченко О.Г. Изучение частоты хромосомных аберраций в лимфоцитах крови человека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in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vitro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облученной разными дозами уф излучения А, В и </w:t>
      </w:r>
      <w:proofErr w:type="gramStart"/>
      <w:r w:rsidRPr="00D51F2E">
        <w:rPr>
          <w:rFonts w:eastAsia="Calibri"/>
          <w:sz w:val="24"/>
          <w:szCs w:val="24"/>
          <w:lang w:val="ru-RU" w:eastAsia="ar-SA"/>
        </w:rPr>
        <w:t>С</w:t>
      </w:r>
      <w:proofErr w:type="gramEnd"/>
      <w:r w:rsidRPr="00D51F2E">
        <w:rPr>
          <w:rFonts w:eastAsia="Calibri"/>
          <w:sz w:val="24"/>
          <w:szCs w:val="24"/>
          <w:lang w:val="ru-RU" w:eastAsia="ar-SA"/>
        </w:rPr>
        <w:t xml:space="preserve"> спектров Евразийский Союз Ученых (ЕСУ) VI, 2014 Биологические науки C. 84-86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proofErr w:type="spellStart"/>
      <w:proofErr w:type="gramStart"/>
      <w:r w:rsidRPr="00D51F2E">
        <w:rPr>
          <w:rFonts w:eastAsia="Calibri"/>
          <w:sz w:val="24"/>
          <w:szCs w:val="24"/>
          <w:lang w:val="ru-RU" w:eastAsia="ar-SA"/>
        </w:rPr>
        <w:t>Битенова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М.М., Брянцева Н.В., Лукашенко С.Н., Галич Б.В.,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Жадыранова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А.А., Каширский В.В.,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Мещщерякова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А.В., Пивоваров С.П., Рухин А.Б.,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Середавина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Т.А.,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Губицкая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Е.Г.,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Байгушикова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Г.М. К вопросу реконструкции доз населения, проживающего в зоне влияния Семипалатинского ядерного испытательного полигона Сборник трудов НЯЦ РК за 2010, Курчатов, 2011, С. 399-423.</w:t>
      </w:r>
      <w:proofErr w:type="gramEnd"/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r w:rsidRPr="00D51F2E">
        <w:rPr>
          <w:rFonts w:eastAsia="Calibri"/>
          <w:sz w:val="24"/>
          <w:szCs w:val="24"/>
          <w:lang w:val="ru-RU" w:eastAsia="ar-SA"/>
        </w:rPr>
        <w:t>Чередниченко О.Г., Магда И.Н., Воропаев Д.М., Пилюгина А.Л., Джансугурова Л.Б. Изучение цитогенетического гомеостаза в популяциях озерных лягушек</w:t>
      </w:r>
      <w:r w:rsidR="007A1D1C" w:rsidRPr="00F52912">
        <w:rPr>
          <w:rFonts w:eastAsia="Calibri"/>
          <w:sz w:val="24"/>
          <w:szCs w:val="24"/>
          <w:lang w:val="ru-RU" w:eastAsia="ar-SA"/>
        </w:rPr>
        <w:t xml:space="preserve"> </w:t>
      </w:r>
      <w:r w:rsidRPr="00D51F2E">
        <w:rPr>
          <w:rFonts w:eastAsia="Calibri"/>
          <w:sz w:val="24"/>
          <w:szCs w:val="24"/>
          <w:lang w:val="ru-RU" w:eastAsia="ar-SA"/>
        </w:rPr>
        <w:t>(</w:t>
      </w:r>
      <w:proofErr w:type="spellStart"/>
      <w:r w:rsidRPr="00D51F2E">
        <w:rPr>
          <w:rFonts w:eastAsia="Calibri"/>
          <w:i/>
          <w:sz w:val="24"/>
          <w:szCs w:val="24"/>
          <w:lang w:val="ru-RU" w:eastAsia="ar-SA"/>
        </w:rPr>
        <w:t>Rana</w:t>
      </w:r>
      <w:proofErr w:type="spellEnd"/>
      <w:r w:rsidRPr="00D51F2E">
        <w:rPr>
          <w:rFonts w:eastAsia="Calibri"/>
          <w:i/>
          <w:sz w:val="24"/>
          <w:szCs w:val="24"/>
          <w:lang w:val="ru-RU" w:eastAsia="ar-SA"/>
        </w:rPr>
        <w:t xml:space="preserve"> </w:t>
      </w:r>
      <w:proofErr w:type="spellStart"/>
      <w:r w:rsidRPr="00D51F2E">
        <w:rPr>
          <w:rFonts w:eastAsia="Calibri"/>
          <w:i/>
          <w:sz w:val="24"/>
          <w:szCs w:val="24"/>
          <w:lang w:val="ru-RU" w:eastAsia="ar-SA"/>
        </w:rPr>
        <w:t>ridibunda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) для оценки экологической обстановки в Казахстанской части Прикаспийского региона // Материалы международной научной конференции «Актуальные проблемы экологии и природопользования» Москва  22-24 ноября 2017 г.    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r w:rsidRPr="00D51F2E">
        <w:rPr>
          <w:rFonts w:eastAsia="Calibri"/>
          <w:sz w:val="24"/>
          <w:szCs w:val="24"/>
          <w:lang w:val="ru-RU" w:eastAsia="ar-SA"/>
        </w:rPr>
        <w:t xml:space="preserve">  Чередниченко О.Г., Пилюгина А.Л.,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Губицкая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Е.Г. Хромосомные аберрации, повреждение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днк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и радиочувствительность у жителей п. Долонь Семипалатинского региона// Материалы международной научной конференции «Актуальные проблемы экологии и природопользования» Москва  22-24 ноября 2017 г.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  <w:tab w:val="left" w:pos="993"/>
        </w:tabs>
        <w:ind w:left="0" w:firstLine="567"/>
        <w:contextualSpacing/>
        <w:rPr>
          <w:rFonts w:eastAsia="Calibri"/>
          <w:sz w:val="24"/>
          <w:szCs w:val="24"/>
          <w:lang w:val="ru-RU" w:eastAsia="ar-SA"/>
        </w:rPr>
      </w:pPr>
      <w:r w:rsidRPr="00D51F2E">
        <w:rPr>
          <w:rFonts w:eastAsia="Calibri"/>
          <w:sz w:val="24"/>
          <w:szCs w:val="24"/>
          <w:lang w:val="ru-RU" w:eastAsia="ar-SA"/>
        </w:rPr>
        <w:t xml:space="preserve">Чередниченко О.Г., Магда И.Н., Пилюгина А.Л.,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Байгушикова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Г.М., Нуралиев С.К. Оценка генетического статуса амфибий и ихтиофауны, обитающих вблизи мест хранения запасов  устаревших пестицидов</w:t>
      </w:r>
      <w:r w:rsidR="000E4063" w:rsidRPr="00F52912">
        <w:rPr>
          <w:rFonts w:eastAsia="Calibri"/>
          <w:sz w:val="24"/>
          <w:szCs w:val="24"/>
          <w:lang w:val="ru-RU" w:eastAsia="ar-SA"/>
        </w:rPr>
        <w:t xml:space="preserve"> //</w:t>
      </w:r>
      <w:r w:rsidRPr="00D51F2E">
        <w:rPr>
          <w:rFonts w:eastAsia="Calibri"/>
          <w:sz w:val="24"/>
          <w:szCs w:val="24"/>
          <w:lang w:val="ru-RU" w:eastAsia="ar-SA"/>
        </w:rPr>
        <w:t xml:space="preserve"> Москва, 26-28</w:t>
      </w:r>
      <w:r w:rsidR="000E4063" w:rsidRPr="00F52912">
        <w:rPr>
          <w:rFonts w:eastAsia="Calibri"/>
          <w:sz w:val="24"/>
          <w:szCs w:val="24"/>
          <w:lang w:val="ru-RU" w:eastAsia="ar-SA"/>
        </w:rPr>
        <w:t>.09.</w:t>
      </w:r>
      <w:r w:rsidRPr="00D51F2E">
        <w:rPr>
          <w:rFonts w:eastAsia="Calibri"/>
          <w:sz w:val="24"/>
          <w:szCs w:val="24"/>
          <w:lang w:val="ru-RU" w:eastAsia="ar-SA"/>
        </w:rPr>
        <w:t>2018г.</w:t>
      </w:r>
      <w:r w:rsidR="000E4063" w:rsidRPr="00F52912">
        <w:rPr>
          <w:rFonts w:eastAsia="Calibri"/>
          <w:sz w:val="24"/>
          <w:szCs w:val="24"/>
          <w:lang w:val="ru-RU" w:eastAsia="ar-SA"/>
        </w:rPr>
        <w:t xml:space="preserve"> </w:t>
      </w:r>
      <w:r w:rsidRPr="00D51F2E">
        <w:rPr>
          <w:rFonts w:eastAsia="Calibri"/>
          <w:sz w:val="24"/>
          <w:szCs w:val="24"/>
          <w:lang w:val="ru-RU" w:eastAsia="ar-SA"/>
        </w:rPr>
        <w:t xml:space="preserve"> Москва, РУДН. 2018.с 121-125</w:t>
      </w:r>
    </w:p>
    <w:p w:rsidR="00D51F2E" w:rsidRPr="00D51F2E" w:rsidRDefault="00D51F2E" w:rsidP="009139CD">
      <w:pPr>
        <w:numPr>
          <w:ilvl w:val="3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r w:rsidRPr="00D51F2E">
        <w:rPr>
          <w:rFonts w:eastAsia="Calibri"/>
          <w:sz w:val="24"/>
          <w:szCs w:val="24"/>
          <w:lang w:val="ru-RU" w:eastAsia="ar-SA"/>
        </w:rPr>
        <w:t xml:space="preserve">Чередниченко О.Г., Пилюгина А.Л.,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Губицкая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Е.Г. Оценка генетического статуса озерной лягушки (</w:t>
      </w:r>
      <w:proofErr w:type="spellStart"/>
      <w:r w:rsidRPr="00D51F2E">
        <w:rPr>
          <w:rFonts w:eastAsia="Calibri"/>
          <w:i/>
          <w:sz w:val="24"/>
          <w:szCs w:val="24"/>
          <w:lang w:val="ru-RU" w:eastAsia="ar-SA"/>
        </w:rPr>
        <w:t>Rana</w:t>
      </w:r>
      <w:proofErr w:type="spellEnd"/>
      <w:r w:rsidRPr="00D51F2E">
        <w:rPr>
          <w:rFonts w:eastAsia="Calibri"/>
          <w:i/>
          <w:sz w:val="24"/>
          <w:szCs w:val="24"/>
          <w:lang w:val="ru-RU" w:eastAsia="ar-SA"/>
        </w:rPr>
        <w:t xml:space="preserve"> </w:t>
      </w:r>
      <w:proofErr w:type="spellStart"/>
      <w:r w:rsidRPr="00D51F2E">
        <w:rPr>
          <w:rFonts w:eastAsia="Calibri"/>
          <w:i/>
          <w:sz w:val="24"/>
          <w:szCs w:val="24"/>
          <w:lang w:val="ru-RU" w:eastAsia="ar-SA"/>
        </w:rPr>
        <w:t>ridibunda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) Казахстанской части Прикаспийского региона с помощью </w:t>
      </w:r>
      <w:proofErr w:type="spellStart"/>
      <w:r w:rsidRPr="00D51F2E">
        <w:rPr>
          <w:rFonts w:eastAsia="Calibri"/>
          <w:sz w:val="24"/>
          <w:szCs w:val="24"/>
          <w:lang w:val="ru-RU" w:eastAsia="ar-SA"/>
        </w:rPr>
        <w:t>микроядерного</w:t>
      </w:r>
      <w:proofErr w:type="spellEnd"/>
      <w:r w:rsidRPr="00D51F2E">
        <w:rPr>
          <w:rFonts w:eastAsia="Calibri"/>
          <w:sz w:val="24"/>
          <w:szCs w:val="24"/>
          <w:lang w:val="ru-RU" w:eastAsia="ar-SA"/>
        </w:rPr>
        <w:t xml:space="preserve"> теста // Материалы XIV Международной научно-практической экологической конференции Экологические и эволюционные механизмы Структурно-функционального гомеостаза живых систем. Белгород, 4-8 октября 2016 г. – С. 84-87.</w:t>
      </w:r>
    </w:p>
    <w:p w:rsidR="00D51F2E" w:rsidRPr="00D51F2E" w:rsidRDefault="009139CD" w:rsidP="00D51F2E">
      <w:pPr>
        <w:numPr>
          <w:ilvl w:val="3"/>
          <w:numId w:val="5"/>
        </w:numPr>
        <w:tabs>
          <w:tab w:val="left" w:pos="851"/>
          <w:tab w:val="left" w:pos="993"/>
        </w:tabs>
        <w:suppressAutoHyphens/>
        <w:spacing w:after="0" w:line="240" w:lineRule="auto"/>
        <w:ind w:left="0" w:right="105" w:firstLine="567"/>
        <w:contextualSpacing/>
        <w:jc w:val="both"/>
        <w:rPr>
          <w:rFonts w:eastAsia="Calibri"/>
          <w:sz w:val="24"/>
          <w:szCs w:val="24"/>
          <w:lang w:val="ru-RU" w:eastAsia="ar-SA"/>
        </w:rPr>
      </w:pPr>
      <w:r w:rsidRPr="00F52912">
        <w:rPr>
          <w:rFonts w:eastAsia="Calibri"/>
          <w:sz w:val="24"/>
          <w:szCs w:val="24"/>
          <w:lang w:val="ru-RU" w:eastAsia="ar-SA"/>
        </w:rPr>
        <w:t xml:space="preserve">Чередниченко О.Г., </w:t>
      </w:r>
      <w:proofErr w:type="spellStart"/>
      <w:r w:rsidRPr="00F52912">
        <w:rPr>
          <w:rFonts w:eastAsia="Calibri"/>
          <w:sz w:val="24"/>
          <w:szCs w:val="24"/>
          <w:lang w:val="ru-RU" w:eastAsia="ar-SA"/>
        </w:rPr>
        <w:t>Байгушикова</w:t>
      </w:r>
      <w:proofErr w:type="spellEnd"/>
      <w:r w:rsidRPr="00F52912">
        <w:rPr>
          <w:rFonts w:eastAsia="Calibri"/>
          <w:sz w:val="24"/>
          <w:szCs w:val="24"/>
          <w:lang w:val="ru-RU" w:eastAsia="ar-SA"/>
        </w:rPr>
        <w:t xml:space="preserve"> Г.М., </w:t>
      </w:r>
      <w:proofErr w:type="spellStart"/>
      <w:r w:rsidRPr="00F52912">
        <w:rPr>
          <w:rFonts w:eastAsia="Calibri"/>
          <w:sz w:val="24"/>
          <w:szCs w:val="24"/>
          <w:lang w:val="ru-RU" w:eastAsia="ar-SA"/>
        </w:rPr>
        <w:t>Губицкая</w:t>
      </w:r>
      <w:proofErr w:type="spellEnd"/>
      <w:r w:rsidRPr="00F52912">
        <w:rPr>
          <w:rFonts w:eastAsia="Calibri"/>
          <w:sz w:val="24"/>
          <w:szCs w:val="24"/>
          <w:lang w:val="ru-RU" w:eastAsia="ar-SA"/>
        </w:rPr>
        <w:t xml:space="preserve"> Е.Г., </w:t>
      </w:r>
      <w:proofErr w:type="spellStart"/>
      <w:r w:rsidRPr="00F52912">
        <w:rPr>
          <w:rFonts w:eastAsia="Calibri"/>
          <w:sz w:val="24"/>
          <w:szCs w:val="24"/>
          <w:lang w:val="ru-RU" w:eastAsia="ar-SA"/>
        </w:rPr>
        <w:t>Битенова</w:t>
      </w:r>
      <w:proofErr w:type="spellEnd"/>
      <w:r w:rsidRPr="00F52912">
        <w:rPr>
          <w:rFonts w:eastAsia="Calibri"/>
          <w:sz w:val="24"/>
          <w:szCs w:val="24"/>
          <w:lang w:val="ru-RU" w:eastAsia="ar-SA"/>
        </w:rPr>
        <w:t xml:space="preserve"> М.М. Изучение частоты хромосомных аберраций в лимфоцитах людей, профессионально контактирующих с пробами, содержащими радионуклиды различной  интенсивности// Материалы </w:t>
      </w:r>
      <w:r w:rsidRPr="00F52912">
        <w:rPr>
          <w:rFonts w:eastAsia="Calibri"/>
          <w:sz w:val="24"/>
          <w:szCs w:val="24"/>
          <w:lang w:eastAsia="ar-SA"/>
        </w:rPr>
        <w:t>IV</w:t>
      </w:r>
      <w:r w:rsidRPr="00F52912">
        <w:rPr>
          <w:rFonts w:eastAsia="Calibri"/>
          <w:sz w:val="24"/>
          <w:szCs w:val="24"/>
          <w:lang w:val="ru-RU" w:eastAsia="ar-SA"/>
        </w:rPr>
        <w:t xml:space="preserve"> Международной конференции «Радиоактивность и радиоактивные элементы в среде обитания человека Томск 5-7 июня 2013, с 551-554</w:t>
      </w:r>
    </w:p>
    <w:p w:rsidR="00590B0D" w:rsidRPr="00F52912" w:rsidRDefault="00590B0D" w:rsidP="00F54FD1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:rsidR="000E4063" w:rsidRPr="00F52912" w:rsidRDefault="000E4063" w:rsidP="00F54FD1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:rsidR="00F54FD1" w:rsidRPr="00F52912" w:rsidRDefault="00590B0D" w:rsidP="00F54FD1">
      <w:pPr>
        <w:spacing w:after="0" w:line="240" w:lineRule="auto"/>
        <w:jc w:val="both"/>
        <w:rPr>
          <w:sz w:val="24"/>
          <w:szCs w:val="24"/>
          <w:lang w:val="kk-KZ"/>
        </w:rPr>
      </w:pPr>
      <w:r w:rsidRPr="00F52912">
        <w:rPr>
          <w:sz w:val="24"/>
          <w:szCs w:val="24"/>
          <w:lang w:val="ru-RU" w:eastAsia="ru-RU"/>
        </w:rPr>
        <w:t xml:space="preserve">Соискатель                  </w:t>
      </w:r>
      <w:r w:rsidR="00314981">
        <w:rPr>
          <w:sz w:val="24"/>
          <w:szCs w:val="24"/>
          <w:lang w:val="ru-RU" w:eastAsia="ru-RU"/>
        </w:rPr>
        <w:t xml:space="preserve">                                                     </w:t>
      </w:r>
      <w:r w:rsidRPr="00F52912">
        <w:rPr>
          <w:sz w:val="24"/>
          <w:szCs w:val="24"/>
          <w:lang w:val="ru-RU" w:eastAsia="ru-RU"/>
        </w:rPr>
        <w:t>Чередниченко О.Г.</w:t>
      </w:r>
    </w:p>
    <w:p w:rsidR="00590B0D" w:rsidRPr="00F52912" w:rsidRDefault="00590B0D" w:rsidP="00590B0D">
      <w:pPr>
        <w:spacing w:after="0" w:line="240" w:lineRule="auto"/>
        <w:rPr>
          <w:sz w:val="24"/>
          <w:szCs w:val="24"/>
          <w:lang w:val="ru-RU" w:eastAsia="ru-RU"/>
        </w:rPr>
      </w:pPr>
    </w:p>
    <w:p w:rsidR="00590B0D" w:rsidRPr="00F52912" w:rsidRDefault="00590B0D" w:rsidP="00590B0D">
      <w:pPr>
        <w:spacing w:after="0" w:line="240" w:lineRule="auto"/>
        <w:rPr>
          <w:sz w:val="24"/>
          <w:szCs w:val="24"/>
          <w:lang w:val="ru-RU" w:eastAsia="ru-RU"/>
        </w:rPr>
      </w:pPr>
      <w:r w:rsidRPr="00F52912">
        <w:rPr>
          <w:sz w:val="24"/>
          <w:szCs w:val="24"/>
          <w:lang w:val="ru-RU" w:eastAsia="ru-RU"/>
        </w:rPr>
        <w:t xml:space="preserve">Ученый секретарь            </w:t>
      </w:r>
      <w:r w:rsidR="00314981">
        <w:rPr>
          <w:sz w:val="24"/>
          <w:szCs w:val="24"/>
          <w:lang w:val="ru-RU" w:eastAsia="ru-RU"/>
        </w:rPr>
        <w:t xml:space="preserve">                                                   </w:t>
      </w:r>
      <w:proofErr w:type="spellStart"/>
      <w:r w:rsidRPr="00F52912">
        <w:rPr>
          <w:sz w:val="24"/>
          <w:szCs w:val="24"/>
          <w:lang w:val="ru-RU" w:eastAsia="ru-RU"/>
        </w:rPr>
        <w:t>Джангалина</w:t>
      </w:r>
      <w:proofErr w:type="spellEnd"/>
      <w:r w:rsidRPr="00F52912">
        <w:rPr>
          <w:sz w:val="24"/>
          <w:szCs w:val="24"/>
          <w:lang w:val="ru-RU" w:eastAsia="ru-RU"/>
        </w:rPr>
        <w:t xml:space="preserve"> Э.Д.</w:t>
      </w:r>
    </w:p>
    <w:p w:rsidR="00F54FD1" w:rsidRPr="00F52912" w:rsidRDefault="00F54FD1" w:rsidP="00F54FD1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54FD1" w:rsidRPr="00F52912" w:rsidRDefault="00F54FD1" w:rsidP="00590B0D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F52912">
        <w:rPr>
          <w:color w:val="000000"/>
          <w:spacing w:val="2"/>
          <w:sz w:val="24"/>
          <w:szCs w:val="24"/>
          <w:lang w:val="ru-RU" w:eastAsia="ru-RU"/>
        </w:rPr>
        <w:t xml:space="preserve">Генеральный директор </w:t>
      </w:r>
    </w:p>
    <w:p w:rsidR="00F54FD1" w:rsidRPr="00F52912" w:rsidRDefault="00F54FD1" w:rsidP="00590B0D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F52912">
        <w:rPr>
          <w:color w:val="000000"/>
          <w:spacing w:val="2"/>
          <w:sz w:val="24"/>
          <w:szCs w:val="24"/>
          <w:lang w:val="ru-RU" w:eastAsia="ru-RU"/>
        </w:rPr>
        <w:t xml:space="preserve">РГП «Институт генетики и </w:t>
      </w:r>
    </w:p>
    <w:p w:rsidR="00F54FD1" w:rsidRPr="00F54FD1" w:rsidRDefault="00F54FD1" w:rsidP="000E4063">
      <w:pPr>
        <w:shd w:val="clear" w:color="auto" w:fill="FFFFFF"/>
        <w:spacing w:after="0" w:line="240" w:lineRule="auto"/>
        <w:textAlignment w:val="baseline"/>
        <w:rPr>
          <w:sz w:val="24"/>
          <w:szCs w:val="24"/>
          <w:lang w:val="ru-RU"/>
        </w:rPr>
      </w:pPr>
      <w:r w:rsidRPr="00F52912">
        <w:rPr>
          <w:color w:val="000000"/>
          <w:spacing w:val="2"/>
          <w:sz w:val="24"/>
          <w:szCs w:val="24"/>
          <w:lang w:val="ru-RU" w:eastAsia="ru-RU"/>
        </w:rPr>
        <w:t>физиологии» КН МНВО РК,</w:t>
      </w:r>
      <w:r w:rsidRPr="00F52912">
        <w:rPr>
          <w:color w:val="000000"/>
          <w:spacing w:val="2"/>
          <w:sz w:val="24"/>
          <w:szCs w:val="24"/>
          <w:lang w:val="ru-RU" w:eastAsia="ru-RU"/>
        </w:rPr>
        <w:tab/>
      </w:r>
      <w:r w:rsidRPr="00F52912">
        <w:rPr>
          <w:color w:val="000000"/>
          <w:spacing w:val="2"/>
          <w:sz w:val="24"/>
          <w:szCs w:val="24"/>
          <w:lang w:val="ru-RU" w:eastAsia="ru-RU"/>
        </w:rPr>
        <w:tab/>
      </w:r>
      <w:r w:rsidRPr="00F52912">
        <w:rPr>
          <w:color w:val="000000"/>
          <w:spacing w:val="2"/>
          <w:sz w:val="24"/>
          <w:szCs w:val="24"/>
          <w:lang w:val="ru-RU" w:eastAsia="ru-RU"/>
        </w:rPr>
        <w:tab/>
      </w:r>
      <w:r w:rsidRPr="00F52912">
        <w:rPr>
          <w:color w:val="000000"/>
          <w:spacing w:val="2"/>
          <w:sz w:val="24"/>
          <w:szCs w:val="24"/>
          <w:lang w:val="ru-RU" w:eastAsia="ru-RU"/>
        </w:rPr>
        <w:tab/>
      </w:r>
      <w:proofErr w:type="spellStart"/>
      <w:r w:rsidR="00A80E4B" w:rsidRPr="00F52912">
        <w:rPr>
          <w:color w:val="000000"/>
          <w:spacing w:val="2"/>
          <w:sz w:val="24"/>
          <w:szCs w:val="24"/>
          <w:lang w:val="ru-RU" w:eastAsia="ru-RU"/>
        </w:rPr>
        <w:t>Калекешов</w:t>
      </w:r>
      <w:proofErr w:type="spellEnd"/>
      <w:r w:rsidR="00314981" w:rsidRPr="00314981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="00314981" w:rsidRPr="00F52912">
        <w:rPr>
          <w:color w:val="000000"/>
          <w:spacing w:val="2"/>
          <w:sz w:val="24"/>
          <w:szCs w:val="24"/>
          <w:lang w:val="ru-RU" w:eastAsia="ru-RU"/>
        </w:rPr>
        <w:t>А.М.</w:t>
      </w:r>
    </w:p>
    <w:sectPr w:rsidR="00F54FD1" w:rsidRPr="00F54FD1" w:rsidSect="000C072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AC4"/>
    <w:multiLevelType w:val="hybridMultilevel"/>
    <w:tmpl w:val="FD66ED78"/>
    <w:lvl w:ilvl="0" w:tplc="1C2AD3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9D07CE"/>
    <w:multiLevelType w:val="hybridMultilevel"/>
    <w:tmpl w:val="E3F4824A"/>
    <w:lvl w:ilvl="0" w:tplc="CB620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15426"/>
    <w:multiLevelType w:val="hybridMultilevel"/>
    <w:tmpl w:val="079ADE1C"/>
    <w:lvl w:ilvl="0" w:tplc="1C2AD3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983"/>
    <w:multiLevelType w:val="hybridMultilevel"/>
    <w:tmpl w:val="E5B4E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606356"/>
    <w:multiLevelType w:val="hybridMultilevel"/>
    <w:tmpl w:val="3EE4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9E"/>
    <w:rsid w:val="0002101A"/>
    <w:rsid w:val="000230D6"/>
    <w:rsid w:val="00034EDA"/>
    <w:rsid w:val="000635B4"/>
    <w:rsid w:val="00096C24"/>
    <w:rsid w:val="000C072B"/>
    <w:rsid w:val="000E4063"/>
    <w:rsid w:val="00100A63"/>
    <w:rsid w:val="001261C1"/>
    <w:rsid w:val="00290729"/>
    <w:rsid w:val="00291915"/>
    <w:rsid w:val="002E6D04"/>
    <w:rsid w:val="00314981"/>
    <w:rsid w:val="00324C56"/>
    <w:rsid w:val="00372C09"/>
    <w:rsid w:val="003A4D74"/>
    <w:rsid w:val="003A5B84"/>
    <w:rsid w:val="003E6EE6"/>
    <w:rsid w:val="003F225C"/>
    <w:rsid w:val="004043AF"/>
    <w:rsid w:val="00404B07"/>
    <w:rsid w:val="004235F3"/>
    <w:rsid w:val="0043059E"/>
    <w:rsid w:val="00444803"/>
    <w:rsid w:val="004A7434"/>
    <w:rsid w:val="00521AFD"/>
    <w:rsid w:val="00590B0D"/>
    <w:rsid w:val="00630F55"/>
    <w:rsid w:val="006359E4"/>
    <w:rsid w:val="00667CEB"/>
    <w:rsid w:val="00762885"/>
    <w:rsid w:val="007A1778"/>
    <w:rsid w:val="007A1D1C"/>
    <w:rsid w:val="007D79C5"/>
    <w:rsid w:val="007E7C8B"/>
    <w:rsid w:val="0080129C"/>
    <w:rsid w:val="008036D2"/>
    <w:rsid w:val="009139CD"/>
    <w:rsid w:val="00944C28"/>
    <w:rsid w:val="009971AC"/>
    <w:rsid w:val="009F4EA8"/>
    <w:rsid w:val="00A13283"/>
    <w:rsid w:val="00A55FD1"/>
    <w:rsid w:val="00A80E4B"/>
    <w:rsid w:val="00AB3EB7"/>
    <w:rsid w:val="00AF6103"/>
    <w:rsid w:val="00B1517A"/>
    <w:rsid w:val="00BA2214"/>
    <w:rsid w:val="00BB1EB5"/>
    <w:rsid w:val="00BC04A2"/>
    <w:rsid w:val="00C0650A"/>
    <w:rsid w:val="00CD6BF8"/>
    <w:rsid w:val="00CF2228"/>
    <w:rsid w:val="00D00BA4"/>
    <w:rsid w:val="00D51F2E"/>
    <w:rsid w:val="00D6392A"/>
    <w:rsid w:val="00DA7E9F"/>
    <w:rsid w:val="00DB07C5"/>
    <w:rsid w:val="00DD0952"/>
    <w:rsid w:val="00EA469D"/>
    <w:rsid w:val="00EB0311"/>
    <w:rsid w:val="00F156F2"/>
    <w:rsid w:val="00F43AD3"/>
    <w:rsid w:val="00F52912"/>
    <w:rsid w:val="00F54FD1"/>
    <w:rsid w:val="00FB3564"/>
    <w:rsid w:val="00FD1775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34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7D79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D6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34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7D79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D6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ical-medical.kz/images/pdf/b20174/148158.pdf" TargetMode="External"/><Relationship Id="rId13" Type="http://schemas.openxmlformats.org/officeDocument/2006/relationships/hyperlink" Target="https://doi.org/10.26577/EJE.2020.v63.i2.03" TargetMode="External"/><Relationship Id="rId18" Type="http://schemas.openxmlformats.org/officeDocument/2006/relationships/hyperlink" Target="https://doi.org/10.26577/EJE.2023.v74.i1.0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i.org/10.52269/22266070_2025_1_93" TargetMode="External"/><Relationship Id="rId7" Type="http://schemas.openxmlformats.org/officeDocument/2006/relationships/hyperlink" Target="http://bb.kaznu.kz/index.php/biology/article/view/1166" TargetMode="External"/><Relationship Id="rId12" Type="http://schemas.openxmlformats.org/officeDocument/2006/relationships/hyperlink" Target="https://journals.nauka-nanrk.kz/biological-medical/issue/view/305" TargetMode="External"/><Relationship Id="rId17" Type="http://schemas.openxmlformats.org/officeDocument/2006/relationships/hyperlink" Target="https://doi.org/10.31489/2022%20BMG4/148-163" TargetMode="External"/><Relationship Id="rId25" Type="http://schemas.openxmlformats.org/officeDocument/2006/relationships/hyperlink" Target="https://www.scientific-publications.net/ru/article/10013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571/PTQ.v19.n40.2022.05_&#1063;&#1045;&#1056;&#1045;&#1044;&#1053;&#1048;&#1063;&#1045;&#1053;&#1050;&#1054;_pgs_43_53.pdf" TargetMode="External"/><Relationship Id="rId20" Type="http://schemas.openxmlformats.org/officeDocument/2006/relationships/hyperlink" Target="http://dx.doi.org/10.34689/SH.2024.26.3.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d.nnc.kz/arhivzhurnala.html" TargetMode="External"/><Relationship Id="rId11" Type="http://schemas.openxmlformats.org/officeDocument/2006/relationships/hyperlink" Target="http://biological-medical.kz/index.php/en/archive" TargetMode="External"/><Relationship Id="rId24" Type="http://schemas.openxmlformats.org/officeDocument/2006/relationships/hyperlink" Target="http://ppublishing.org/ru/journals/398/issue/12786/articles/26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indexcopernicus.com/api/file/viewByFileId/1023653.pdf" TargetMode="External"/><Relationship Id="rId23" Type="http://schemas.openxmlformats.org/officeDocument/2006/relationships/hyperlink" Target="https://doi.org/10.5281/zenodo.1131489" TargetMode="External"/><Relationship Id="rId10" Type="http://schemas.openxmlformats.org/officeDocument/2006/relationships/hyperlink" Target="http://www.biological-medical.kz/images/pdf/b20174/148158.pdf" TargetMode="External"/><Relationship Id="rId19" Type="http://schemas.openxmlformats.org/officeDocument/2006/relationships/hyperlink" Target="http://dx.doi.org/10.31031/rmes.2024.10.000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logical-medical.kz/index.php/en/archive" TargetMode="External"/><Relationship Id="rId14" Type="http://schemas.openxmlformats.org/officeDocument/2006/relationships/hyperlink" Target="https://doi.org/10.32523/2616-6771-2020-133-4-64-75" TargetMode="External"/><Relationship Id="rId22" Type="http://schemas.openxmlformats.org/officeDocument/2006/relationships/hyperlink" Target="https://doi.org/10.26577/IJBCh202518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7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2024-09-02T12:43:00Z</cp:lastPrinted>
  <dcterms:created xsi:type="dcterms:W3CDTF">2024-08-23T11:04:00Z</dcterms:created>
  <dcterms:modified xsi:type="dcterms:W3CDTF">2025-08-01T11:47:00Z</dcterms:modified>
</cp:coreProperties>
</file>